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D2DAB" w:rsidRPr="00AD2DAB" w:rsidTr="00AD2DAB">
        <w:trPr>
          <w:tblCellSpacing w:w="0" w:type="dxa"/>
        </w:trPr>
        <w:tc>
          <w:tcPr>
            <w:tcW w:w="3348" w:type="dxa"/>
            <w:shd w:val="clear" w:color="auto" w:fill="FFFFFF"/>
            <w:tcMar>
              <w:top w:w="0" w:type="dxa"/>
              <w:left w:w="108" w:type="dxa"/>
              <w:bottom w:w="0" w:type="dxa"/>
              <w:right w:w="108" w:type="dxa"/>
            </w:tcMa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CHÍNH PHỦ</w:t>
            </w:r>
            <w:r w:rsidRPr="00AD2DAB">
              <w:rPr>
                <w:rFonts w:eastAsia="Times New Roman"/>
                <w:b/>
                <w:bCs/>
                <w:color w:val="000000"/>
                <w:sz w:val="26"/>
                <w:szCs w:val="26"/>
              </w:rPr>
              <w:br/>
              <w:t>--------</w:t>
            </w:r>
          </w:p>
        </w:tc>
        <w:tc>
          <w:tcPr>
            <w:tcW w:w="5508" w:type="dxa"/>
            <w:shd w:val="clear" w:color="auto" w:fill="FFFFFF"/>
            <w:tcMar>
              <w:top w:w="0" w:type="dxa"/>
              <w:left w:w="108" w:type="dxa"/>
              <w:bottom w:w="0" w:type="dxa"/>
              <w:right w:w="108" w:type="dxa"/>
            </w:tcMa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b/>
                <w:bCs/>
                <w:color w:val="000000"/>
                <w:sz w:val="24"/>
                <w:szCs w:val="24"/>
                <w:lang w:val="vi-VN"/>
              </w:rPr>
              <w:t>CỘNG HÒA XÃ HỘI CHỦ NGHĨA VIỆT NAM</w:t>
            </w:r>
            <w:r w:rsidRPr="00AD2DAB">
              <w:rPr>
                <w:rFonts w:eastAsia="Times New Roman"/>
                <w:b/>
                <w:bCs/>
                <w:color w:val="000000"/>
                <w:sz w:val="24"/>
                <w:szCs w:val="24"/>
                <w:lang w:val="vi-VN"/>
              </w:rPr>
              <w:br/>
            </w:r>
            <w:r w:rsidRPr="00AD2DAB">
              <w:rPr>
                <w:rFonts w:eastAsia="Times New Roman"/>
                <w:b/>
                <w:bCs/>
                <w:color w:val="000000"/>
                <w:sz w:val="26"/>
                <w:szCs w:val="26"/>
                <w:lang w:val="vi-VN"/>
              </w:rPr>
              <w:t>Độc lập - Tự do - Hạnh phúc</w:t>
            </w:r>
            <w:r w:rsidRPr="00AD2DAB">
              <w:rPr>
                <w:rFonts w:eastAsia="Times New Roman"/>
                <w:b/>
                <w:bCs/>
                <w:color w:val="000000"/>
                <w:sz w:val="26"/>
                <w:szCs w:val="26"/>
                <w:lang w:val="vi-VN"/>
              </w:rPr>
              <w:br/>
              <w:t>---------------</w:t>
            </w:r>
          </w:p>
        </w:tc>
      </w:tr>
      <w:tr w:rsidR="00AD2DAB" w:rsidRPr="00AD2DAB" w:rsidTr="00AD2DAB">
        <w:trPr>
          <w:tblCellSpacing w:w="0" w:type="dxa"/>
        </w:trPr>
        <w:tc>
          <w:tcPr>
            <w:tcW w:w="3348" w:type="dxa"/>
            <w:shd w:val="clear" w:color="auto" w:fill="FFFFFF"/>
            <w:tcMar>
              <w:top w:w="0" w:type="dxa"/>
              <w:left w:w="108" w:type="dxa"/>
              <w:bottom w:w="0" w:type="dxa"/>
              <w:right w:w="108" w:type="dxa"/>
            </w:tcMa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Số: 84/2020/NĐ-CP</w:t>
            </w:r>
          </w:p>
        </w:tc>
        <w:tc>
          <w:tcPr>
            <w:tcW w:w="5508" w:type="dxa"/>
            <w:shd w:val="clear" w:color="auto" w:fill="FFFFFF"/>
            <w:tcMar>
              <w:top w:w="0" w:type="dxa"/>
              <w:left w:w="108" w:type="dxa"/>
              <w:bottom w:w="0" w:type="dxa"/>
              <w:right w:w="108" w:type="dxa"/>
            </w:tcMar>
            <w:hideMark/>
          </w:tcPr>
          <w:p w:rsidR="00AD2DAB" w:rsidRPr="00AD2DAB" w:rsidRDefault="00AD2DAB" w:rsidP="00AD2DAB">
            <w:pPr>
              <w:spacing w:before="120" w:after="120" w:line="234" w:lineRule="atLeast"/>
              <w:jc w:val="right"/>
              <w:rPr>
                <w:rFonts w:eastAsia="Times New Roman"/>
                <w:color w:val="000000"/>
                <w:sz w:val="26"/>
                <w:szCs w:val="26"/>
              </w:rPr>
            </w:pPr>
            <w:r w:rsidRPr="00AD2DAB">
              <w:rPr>
                <w:rFonts w:eastAsia="Times New Roman"/>
                <w:i/>
                <w:iCs/>
                <w:color w:val="000000"/>
                <w:sz w:val="26"/>
                <w:szCs w:val="26"/>
                <w:lang w:val="vi-VN"/>
              </w:rPr>
              <w:t>Hà Nội, ngày 17 tháng 7 năm 2020</w:t>
            </w:r>
          </w:p>
        </w:tc>
      </w:tr>
    </w:tbl>
    <w:p w:rsidR="00AD2DAB" w:rsidRPr="00AD2DAB" w:rsidRDefault="00AD2DAB" w:rsidP="00AD2DAB">
      <w:pPr>
        <w:shd w:val="clear" w:color="auto" w:fill="FFFFFF"/>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NGHỊ ĐỊNH</w:t>
      </w:r>
    </w:p>
    <w:p w:rsidR="00AD2DAB" w:rsidRPr="00AD2DAB" w:rsidRDefault="00AD2DAB" w:rsidP="00AD2DAB">
      <w:pPr>
        <w:shd w:val="clear" w:color="auto" w:fill="FFFFFF"/>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QUY ĐỊNH CHI TIẾT MỘT SỐ ĐIỀU CỦA LUẬT GIÁO DỤC</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i/>
          <w:iCs/>
          <w:color w:val="000000"/>
          <w:sz w:val="26"/>
          <w:szCs w:val="26"/>
          <w:lang w:val="vi-VN"/>
        </w:rPr>
        <w:t>Căn cứ Luật Tổ chức Chính phủ ngày 19 tháng 6 năm 2015;</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i/>
          <w:iCs/>
          <w:color w:val="000000"/>
          <w:sz w:val="26"/>
          <w:szCs w:val="26"/>
          <w:lang w:val="vi-VN"/>
        </w:rPr>
        <w:t>Căn cứ Luật Giáo dục ngày 14 tháng 6 năm 2019;</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i/>
          <w:iCs/>
          <w:color w:val="000000"/>
          <w:sz w:val="26"/>
          <w:szCs w:val="26"/>
          <w:lang w:val="vi-VN"/>
        </w:rPr>
        <w:t>Theo đề nghị của Bộ trưởng Bộ Giáo dục và Đào tạo;</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i/>
          <w:iCs/>
          <w:color w:val="000000"/>
          <w:sz w:val="26"/>
          <w:szCs w:val="26"/>
          <w:lang w:val="vi-VN"/>
        </w:rPr>
        <w:t>Chính phủ ban hành Nghị định quy định chi tiết một số điều của Luật Giáo dục.</w:t>
      </w:r>
    </w:p>
    <w:p w:rsidR="00AD2DAB" w:rsidRPr="00AD2DAB" w:rsidRDefault="00AD2DAB" w:rsidP="00AD2DAB">
      <w:pPr>
        <w:shd w:val="clear" w:color="auto" w:fill="FFFFFF"/>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Chương I</w:t>
      </w:r>
    </w:p>
    <w:p w:rsidR="00AD2DAB" w:rsidRPr="00AD2DAB" w:rsidRDefault="00AD2DAB" w:rsidP="00AD2DAB">
      <w:pPr>
        <w:shd w:val="clear" w:color="auto" w:fill="FFFFFF"/>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QUY ĐỊNH CHUNG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b/>
          <w:bCs/>
          <w:color w:val="000000"/>
          <w:sz w:val="26"/>
          <w:szCs w:val="26"/>
          <w:lang w:val="vi-VN"/>
        </w:rPr>
        <w:t>Điều 1. Phạm vi điều chỉnh</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 xml:space="preserve">Nghị định này quy định, chi tiết một số điều của Luật Giáo dục, bao gồm: Thời gian nghỉ hè của nhà giáo; phong tặng danh hiệu Tiến sĩ danh dự, Giáo sư danh dự; chuyển đổi nhà trẻ, trường mẫu giáo, trường mầm non, cơ sở giáo dục phổ thông tư thục sang nhà trẻ, trường mẫu giáo, trường mầm non, cơ sở giáo dục phổ thông tư thục hoạt động không vì lợi nhuận; </w:t>
      </w:r>
      <w:r w:rsidRPr="00AD2DAB">
        <w:rPr>
          <w:rFonts w:eastAsia="Times New Roman"/>
          <w:color w:val="000000"/>
          <w:sz w:val="26"/>
          <w:szCs w:val="26"/>
          <w:highlight w:val="yellow"/>
          <w:lang w:val="vi-VN"/>
        </w:rPr>
        <w:t>học bổng khuyến khích học tập; học bổng chính sách</w:t>
      </w:r>
      <w:r w:rsidRPr="00AD2DAB">
        <w:rPr>
          <w:rFonts w:eastAsia="Times New Roman"/>
          <w:color w:val="000000"/>
          <w:sz w:val="26"/>
          <w:szCs w:val="26"/>
          <w:lang w:val="vi-VN"/>
        </w:rPr>
        <w:t xml:space="preserve"> và miễn, giảm giá vé dịch vụ công cộng cho học sinh, sinh viên.</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b/>
          <w:bCs/>
          <w:color w:val="000000"/>
          <w:sz w:val="26"/>
          <w:szCs w:val="26"/>
          <w:lang w:val="vi-VN"/>
        </w:rPr>
        <w:t>Điều 2. Đối tượng áp dụng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Nghị định này áp dụng đối với:</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1. </w:t>
      </w:r>
      <w:r w:rsidRPr="00AD2DAB">
        <w:rPr>
          <w:rFonts w:eastAsia="Times New Roman"/>
          <w:color w:val="000000"/>
          <w:sz w:val="26"/>
          <w:szCs w:val="26"/>
          <w:lang w:val="vi-VN"/>
        </w:rPr>
        <w:t>Nhà trẻ, nhóm trẻ độc lập; trường mẫu giáo, lớp mẫu giáo độc lập; trường mầm non, lớp mầm non độc lập (sau đây gọi chung là cơ sở giáo dục mầm non).</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2. </w:t>
      </w:r>
      <w:r w:rsidRPr="00AD2DAB">
        <w:rPr>
          <w:rFonts w:eastAsia="Times New Roman"/>
          <w:color w:val="000000"/>
          <w:sz w:val="26"/>
          <w:szCs w:val="26"/>
          <w:lang w:val="vi-VN"/>
        </w:rPr>
        <w:t>Trường tiểu học, trường trung học cơ sở, trường trung học phổ thông, trường phổ thông có nhiều cấp học (sau đây gọi chung là cơ sở giáo dục phổ thông).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3. </w:t>
      </w:r>
      <w:r w:rsidRPr="00AD2DAB">
        <w:rPr>
          <w:rFonts w:eastAsia="Times New Roman"/>
          <w:color w:val="000000"/>
          <w:sz w:val="26"/>
          <w:szCs w:val="26"/>
          <w:lang w:val="vi-VN"/>
        </w:rPr>
        <w:t>Trường trung cấp, trường cao đẳng (sau đây gọi chung là cơ sở giáo dục nghề nghiệp).</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highlight w:val="yellow"/>
        </w:rPr>
        <w:t>4. </w:t>
      </w:r>
      <w:r w:rsidRPr="00AD2DAB">
        <w:rPr>
          <w:rFonts w:eastAsia="Times New Roman"/>
          <w:color w:val="000000"/>
          <w:sz w:val="26"/>
          <w:szCs w:val="26"/>
          <w:highlight w:val="yellow"/>
          <w:lang w:val="vi-VN"/>
        </w:rPr>
        <w:t>Đại học, trường đại học, học viện (sau đây gọi chung là cơ sở giáo dục đại học).</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5. </w:t>
      </w:r>
      <w:r w:rsidRPr="00AD2DAB">
        <w:rPr>
          <w:rFonts w:eastAsia="Times New Roman"/>
          <w:color w:val="000000"/>
          <w:sz w:val="26"/>
          <w:szCs w:val="26"/>
          <w:lang w:val="vi-VN"/>
        </w:rPr>
        <w:t>Trường phổ thông dân tộc nội trú, trường phổ thông dân tộc bán trú, trường dự bị đại học, trường chuyên, trường năng khiếu (sau đây gọi chung là trường chuyên biệt).</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6. </w:t>
      </w:r>
      <w:r w:rsidRPr="00AD2DAB">
        <w:rPr>
          <w:rFonts w:eastAsia="Times New Roman"/>
          <w:color w:val="000000"/>
          <w:sz w:val="26"/>
          <w:szCs w:val="26"/>
          <w:lang w:val="vi-VN"/>
        </w:rPr>
        <w:t>Trung tâm giáo dục thường xuyên, trung tâm giáo dục nghề nghiệp - giáo dục thường xuyên, trung tâm giáo dục nghề nghiệp.</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7. </w:t>
      </w:r>
      <w:r w:rsidRPr="00AD2DAB">
        <w:rPr>
          <w:rFonts w:eastAsia="Times New Roman"/>
          <w:color w:val="000000"/>
          <w:sz w:val="26"/>
          <w:szCs w:val="26"/>
          <w:lang w:val="vi-VN"/>
        </w:rPr>
        <w:t>Các tổ chức, cá nhân có liên quan.</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b/>
          <w:bCs/>
          <w:color w:val="000000"/>
          <w:sz w:val="26"/>
          <w:szCs w:val="26"/>
          <w:lang w:val="vi-VN"/>
        </w:rPr>
        <w:t>Điều 3. Thời gian nghỉ hè của nhà giáo</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1. </w:t>
      </w:r>
      <w:r w:rsidRPr="00AD2DAB">
        <w:rPr>
          <w:rFonts w:eastAsia="Times New Roman"/>
          <w:color w:val="000000"/>
          <w:sz w:val="26"/>
          <w:szCs w:val="26"/>
          <w:lang w:val="vi-VN"/>
        </w:rPr>
        <w:t>Thời gian nghỉ hè của nhà giáo:</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a) </w:t>
      </w:r>
      <w:r w:rsidRPr="00AD2DAB">
        <w:rPr>
          <w:rFonts w:eastAsia="Times New Roman"/>
          <w:color w:val="000000"/>
          <w:sz w:val="26"/>
          <w:szCs w:val="26"/>
          <w:lang w:val="vi-VN"/>
        </w:rPr>
        <w:t>Thời gian nghỉ hè hằng năm của giáo viên cơ sở giáo dục mầm non, cơ sở giáo dục phổ thông, trường chuyên biệt là 08 tuần, bao gồm cả nghỉ phép hằng năm;</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lastRenderedPageBreak/>
        <w:t>b) </w:t>
      </w:r>
      <w:r w:rsidRPr="00AD2DAB">
        <w:rPr>
          <w:rFonts w:eastAsia="Times New Roman"/>
          <w:color w:val="000000"/>
          <w:sz w:val="26"/>
          <w:szCs w:val="26"/>
          <w:lang w:val="vi-VN"/>
        </w:rPr>
        <w:t>Thời gian nghỉ hè hàng năm của giáo viên trường trung cấp và giảng viên trường cao đẳng là 06 tuần, bao gồm cả nghỉ phép hằng năm;</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c) </w:t>
      </w:r>
      <w:r w:rsidRPr="00AD2DAB">
        <w:rPr>
          <w:rFonts w:eastAsia="Times New Roman"/>
          <w:color w:val="000000"/>
          <w:sz w:val="26"/>
          <w:szCs w:val="26"/>
          <w:lang w:val="vi-VN"/>
        </w:rPr>
        <w:t>Thời gian nghỉ hè hàng năm của giảng viên cơ sở giáo dục đại học được thực hiện theo quy chế tổ chức và hoạt động của cơ sở giáo dục đại học;</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d) </w:t>
      </w:r>
      <w:r w:rsidRPr="00AD2DAB">
        <w:rPr>
          <w:rFonts w:eastAsia="Times New Roman"/>
          <w:color w:val="000000"/>
          <w:sz w:val="26"/>
          <w:szCs w:val="26"/>
          <w:lang w:val="vi-VN"/>
        </w:rPr>
        <w:t>Trong trường hợp đột xuất, khẩn cấp để phòng chống thiên tai, dịch bệnh hoặc trường hợp cấp bách, thời gian nghỉ hè của nhà giáo cơ sở giáo dục mầm non, cơ sở giáo dục phổ thông, trường chuyên biệt, trường trung cấp và trường cao đẳng do Bộ trưởng Bộ Giáo dục và Đào tạo, Bộ trưởng Bộ Lao động - Thương binh và Xã hội quyết định theo thẩm quyền.</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2. </w:t>
      </w:r>
      <w:r w:rsidRPr="00AD2DAB">
        <w:rPr>
          <w:rFonts w:eastAsia="Times New Roman"/>
          <w:color w:val="000000"/>
          <w:sz w:val="26"/>
          <w:szCs w:val="26"/>
          <w:lang w:val="vi-VN"/>
        </w:rPr>
        <w:t>Ngoài thời gian nghỉ hè theo quy định tại khoản 1 Điều này, giáo viên, giảng viên được nghỉ lễ, tết và các ngày nghỉ khác theo quy định của Bộ luật Lao động.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3. </w:t>
      </w:r>
      <w:r w:rsidRPr="00AD2DAB">
        <w:rPr>
          <w:rFonts w:eastAsia="Times New Roman"/>
          <w:color w:val="000000"/>
          <w:sz w:val="26"/>
          <w:szCs w:val="26"/>
          <w:lang w:val="vi-VN"/>
        </w:rPr>
        <w:t>Căn cứ kế hoạch thời gian năm học do Bộ Giáo dục và Đào tạo ban hành và điều kiện cụ thể của địa phương, Chủ tịch Ủy ban nhân dân tỉnh, thành phố trực thuộc trung ương (sau đây gọi là Ủy ban nhân dân cấp tỉnh) quyết định thời điểm nghỉ hè của giáo viên ở cơ sở giáo dục mầm non, phổ thông, trường chuyên biệt trên địa bàn.</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Căn cứ quy định tại điểm b khoản 1 Điều này, hiệu trưởng trường trung cấp, trường cao đẳng quyết định thời điểm nghỉ hè của giáo viên, giảng viên phù hợp với kế hoạch đào tạo và điều kiện cụ thể của từng trường.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4. </w:t>
      </w:r>
      <w:r w:rsidRPr="00AD2DAB">
        <w:rPr>
          <w:rFonts w:eastAsia="Times New Roman"/>
          <w:color w:val="000000"/>
          <w:sz w:val="26"/>
          <w:szCs w:val="26"/>
          <w:lang w:val="vi-VN"/>
        </w:rPr>
        <w:t>Việc nghỉ hè của nhà giáo trong cơ sở giáo dục thuộc Bộ Công an, Bộ Quốc phòng thực hiện theo quy định riêng của Chính phủ.</w:t>
      </w:r>
    </w:p>
    <w:p w:rsidR="00AD2DAB" w:rsidRPr="00AD2DAB" w:rsidRDefault="00AD2DAB" w:rsidP="001541F3">
      <w:pPr>
        <w:shd w:val="clear" w:color="auto" w:fill="FFFFFF"/>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Chương II</w:t>
      </w:r>
    </w:p>
    <w:p w:rsidR="00AD2DAB" w:rsidRPr="00AD2DAB" w:rsidRDefault="00AD2DAB" w:rsidP="00AD2DAB">
      <w:pPr>
        <w:shd w:val="clear" w:color="auto" w:fill="FFFFFF"/>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PHONG TẶNG DANH HIỆU TIẾN SĨ DANH DỰ, GIÁO SƯ DANH DỰ</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b/>
          <w:bCs/>
          <w:color w:val="000000"/>
          <w:sz w:val="26"/>
          <w:szCs w:val="26"/>
          <w:lang w:val="vi-VN"/>
        </w:rPr>
        <w:t>Điều 4. Phong tặng danh hiệu Tiến sĩ danh dự</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1. </w:t>
      </w:r>
      <w:r w:rsidRPr="00AD2DAB">
        <w:rPr>
          <w:rFonts w:eastAsia="Times New Roman"/>
          <w:color w:val="000000"/>
          <w:sz w:val="26"/>
          <w:szCs w:val="26"/>
          <w:lang w:val="vi-VN"/>
        </w:rPr>
        <w:t>Đối tượng được phong tặng: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a) </w:t>
      </w:r>
      <w:r w:rsidRPr="00AD2DAB">
        <w:rPr>
          <w:rFonts w:eastAsia="Times New Roman"/>
          <w:color w:val="000000"/>
          <w:sz w:val="26"/>
          <w:szCs w:val="26"/>
          <w:lang w:val="vi-VN"/>
        </w:rPr>
        <w:t>Nhà giáo, nhà khoa học;</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b) </w:t>
      </w:r>
      <w:r w:rsidRPr="00AD2DAB">
        <w:rPr>
          <w:rFonts w:eastAsia="Times New Roman"/>
          <w:color w:val="000000"/>
          <w:sz w:val="26"/>
          <w:szCs w:val="26"/>
          <w:lang w:val="vi-VN"/>
        </w:rPr>
        <w:t>Nhà hoạt động chính trị, xã hội.</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2. </w:t>
      </w:r>
      <w:r w:rsidRPr="00AD2DAB">
        <w:rPr>
          <w:rFonts w:eastAsia="Times New Roman"/>
          <w:color w:val="000000"/>
          <w:sz w:val="26"/>
          <w:szCs w:val="26"/>
          <w:lang w:val="vi-VN"/>
        </w:rPr>
        <w:t>Điều kiện được phong tặng: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a) </w:t>
      </w:r>
      <w:r w:rsidRPr="00AD2DAB">
        <w:rPr>
          <w:rFonts w:eastAsia="Times New Roman"/>
          <w:color w:val="000000"/>
          <w:sz w:val="26"/>
          <w:szCs w:val="26"/>
          <w:lang w:val="vi-VN"/>
        </w:rPr>
        <w:t>Là người Việt Nam định cư ở nước ngoài hoặc người nước ngoài có nhiều thành tích đóng góp cho sự nghiệp giáo dục và khoa học của Việt Nam, được một cơ sở giáo dục đại học đào tạo trình độ tiến sĩ của Việt Nam đồng ý phong tặng đối với đối tượng quy định tại điểm a khoản 1 Điều này;</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b) </w:t>
      </w:r>
      <w:r w:rsidRPr="00AD2DAB">
        <w:rPr>
          <w:rFonts w:eastAsia="Times New Roman"/>
          <w:color w:val="000000"/>
          <w:sz w:val="26"/>
          <w:szCs w:val="26"/>
          <w:lang w:val="vi-VN"/>
        </w:rPr>
        <w:t>Là người Việt Nam định cư ở nước ngoài hoặc người nước ngoài có nhiều thành tích đóng góp cho sự nghiệp giáo dục và khoa học của Việt Nam, có uy tín quốc tế, có nhiều thành tích, công lao đóng góp cho tình hữu nghị, cho sự phát triển kinh tế - xã hội của Việt Nam và được một cơ sở giáo dục đại học đào tạo trình độ tiến sĩ của Việt Nam đồng ý phong tặng đối với đối tượng quy định tại điểm b khoản 1 Điều này.</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3. </w:t>
      </w:r>
      <w:r w:rsidRPr="00AD2DAB">
        <w:rPr>
          <w:rFonts w:eastAsia="Times New Roman"/>
          <w:color w:val="000000"/>
          <w:sz w:val="26"/>
          <w:szCs w:val="26"/>
          <w:lang w:val="vi-VN"/>
        </w:rPr>
        <w:t>Quy trình phong tặng: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a) </w:t>
      </w:r>
      <w:r w:rsidRPr="00AD2DAB">
        <w:rPr>
          <w:rFonts w:eastAsia="Times New Roman"/>
          <w:color w:val="000000"/>
          <w:sz w:val="26"/>
          <w:szCs w:val="26"/>
          <w:lang w:val="vi-VN"/>
        </w:rPr>
        <w:t>Cơ sở giáo dục đại học tổ chức họp hội đồng khoa học và đào tạo để xem xét việc phong tặng bảo đảm đúng đối tượng, điều kiện theo quy định tại khoản 1 và khoản 2 Điều này;</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lastRenderedPageBreak/>
        <w:t>b) </w:t>
      </w:r>
      <w:r w:rsidRPr="00AD2DAB">
        <w:rPr>
          <w:rFonts w:eastAsia="Times New Roman"/>
          <w:color w:val="000000"/>
          <w:sz w:val="26"/>
          <w:szCs w:val="26"/>
          <w:lang w:val="vi-VN"/>
        </w:rPr>
        <w:t>Căn cứ quyết nghị của hội đồng khoa học và đào tạo, hiệu trưởng, giám đốc cơ sở giáo dục đại học trình hội đồng trường xem xét, thông qua. Trên cơ sở nghị quyết của hội đồng trường, hiệu trưởng, giám đốc ra quyết định phong tặng và tổ chức lễ trao tặng danh hiệu;</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c) </w:t>
      </w:r>
      <w:r w:rsidRPr="00AD2DAB">
        <w:rPr>
          <w:rFonts w:eastAsia="Times New Roman"/>
          <w:color w:val="000000"/>
          <w:sz w:val="26"/>
          <w:szCs w:val="26"/>
          <w:lang w:val="vi-VN"/>
        </w:rPr>
        <w:t>Trong trường hợp cần thiết, hiệu trưởng, giám đốc cơ sở giáo dục đại học có văn bản đề nghị Bộ Ngoại giao, Bộ Công an hoặc Cơ quan đại diện của nước có người được đề nghị phong tặng có ý kiến việc không vi phạm pháp luật của Việt Nam, pháp luật của nước sở tại và các điều ước quốc tế mà Việt Nam là thành viên.</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4. </w:t>
      </w:r>
      <w:r w:rsidRPr="00AD2DAB">
        <w:rPr>
          <w:rFonts w:eastAsia="Times New Roman"/>
          <w:color w:val="000000"/>
          <w:sz w:val="26"/>
          <w:szCs w:val="26"/>
          <w:lang w:val="vi-VN"/>
        </w:rPr>
        <w:t>Cơ sở giáo dục đại học đào tạo trình độ tiến sĩ thiết kế, in phôi, cấp phát và quản lý bằng Tiến sĩ danh dự. Bằng Tiến sĩ danh dự phải ghi rõ danh hiệu “Tiến sĩ danh dự”, không ghi “học vị Tiến sĩ” và không ghi ngành đào tạo; công khai thông tin của người được phong tặng trên trang thông tin điện tử của cơ sở giáo dục đại học và gửi quyết định phong tặng về Bộ Giáo dục và Đào tạo sau mỗi lần phong tặng.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b/>
          <w:bCs/>
          <w:color w:val="000000"/>
          <w:sz w:val="26"/>
          <w:szCs w:val="26"/>
          <w:lang w:val="vi-VN"/>
        </w:rPr>
        <w:t>Điều 5. Phong tặng danh hiệu Giáo sư danh dự</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1. </w:t>
      </w:r>
      <w:r w:rsidRPr="00AD2DAB">
        <w:rPr>
          <w:rFonts w:eastAsia="Times New Roman"/>
          <w:color w:val="000000"/>
          <w:sz w:val="26"/>
          <w:szCs w:val="26"/>
          <w:lang w:val="vi-VN"/>
        </w:rPr>
        <w:t>Đối tượng được phong tặng: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a) </w:t>
      </w:r>
      <w:r w:rsidRPr="00AD2DAB">
        <w:rPr>
          <w:rFonts w:eastAsia="Times New Roman"/>
          <w:color w:val="000000"/>
          <w:sz w:val="26"/>
          <w:szCs w:val="26"/>
          <w:lang w:val="vi-VN"/>
        </w:rPr>
        <w:t>Nhà giáo, nhà khoa học;</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b) </w:t>
      </w:r>
      <w:r w:rsidRPr="00AD2DAB">
        <w:rPr>
          <w:rFonts w:eastAsia="Times New Roman"/>
          <w:color w:val="000000"/>
          <w:sz w:val="26"/>
          <w:szCs w:val="26"/>
          <w:lang w:val="vi-VN"/>
        </w:rPr>
        <w:t>Nhà hoạt động chính trị, xã hội.</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2. </w:t>
      </w:r>
      <w:r w:rsidRPr="00AD2DAB">
        <w:rPr>
          <w:rFonts w:eastAsia="Times New Roman"/>
          <w:color w:val="000000"/>
          <w:sz w:val="26"/>
          <w:szCs w:val="26"/>
          <w:lang w:val="vi-VN"/>
        </w:rPr>
        <w:t>Điều kiện được phong tặng: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a) </w:t>
      </w:r>
      <w:r w:rsidRPr="00AD2DAB">
        <w:rPr>
          <w:rFonts w:eastAsia="Times New Roman"/>
          <w:color w:val="000000"/>
          <w:sz w:val="26"/>
          <w:szCs w:val="26"/>
          <w:lang w:val="vi-VN"/>
        </w:rPr>
        <w:t>Đáp ứng các điều kiện quy định tại khoản 2 Điều 4 Nghị định này;</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b) </w:t>
      </w:r>
      <w:r w:rsidRPr="00AD2DAB">
        <w:rPr>
          <w:rFonts w:eastAsia="Times New Roman"/>
          <w:color w:val="000000"/>
          <w:sz w:val="26"/>
          <w:szCs w:val="26"/>
          <w:lang w:val="vi-VN"/>
        </w:rPr>
        <w:t>Gó bằng tiến sĩ.</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3. </w:t>
      </w:r>
      <w:r w:rsidRPr="00AD2DAB">
        <w:rPr>
          <w:rFonts w:eastAsia="Times New Roman"/>
          <w:color w:val="000000"/>
          <w:sz w:val="26"/>
          <w:szCs w:val="26"/>
          <w:lang w:val="vi-VN"/>
        </w:rPr>
        <w:t>Quy trình phong tặng thực hiện theo quy định tại khoản 3 Điều 4 Nghị định này.</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4. </w:t>
      </w:r>
      <w:r w:rsidRPr="00AD2DAB">
        <w:rPr>
          <w:rFonts w:eastAsia="Times New Roman"/>
          <w:color w:val="000000"/>
          <w:sz w:val="26"/>
          <w:szCs w:val="26"/>
          <w:lang w:val="vi-VN"/>
        </w:rPr>
        <w:t>Quyết định phong tặng danh hiệu Giáo sư danh dự phải ghi rõ danh hiệu “Giáo sư danh dự”. Cơ sở giáo dục đại học công khai thông tin của người được phong tặng trên trang thông tin điện tử của cơ sở giáo dục đại học và gửi quyết định phong tặng về Bộ Giáo dục và Đào tạo sau mỗi lần phong tặng.</w:t>
      </w:r>
    </w:p>
    <w:p w:rsidR="00AD2DAB" w:rsidRPr="00AD2DAB" w:rsidRDefault="00AD2DAB" w:rsidP="001541F3">
      <w:pPr>
        <w:shd w:val="clear" w:color="auto" w:fill="FFFFFF"/>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Chương III</w:t>
      </w:r>
    </w:p>
    <w:p w:rsidR="00AD2DAB" w:rsidRPr="00AD2DAB" w:rsidRDefault="00AD2DAB" w:rsidP="00AD2DAB">
      <w:pPr>
        <w:shd w:val="clear" w:color="auto" w:fill="FFFFFF"/>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CHUYỂN ĐỔI NHÀ TRẺ, TRƯỜNG MẪU GIÁO, TRƯỜNG MẦM NON, CƠ SỞ GIÁO DỤC PHỔ THÔNG TƯ THỤC SANG NHÀ TRẺ, TRƯỜNG MẪU GIÁO, TRƯỜNG MẦM NON, CƠ SỞ GIÁO DỤC PHỔ THÔNG TƯ THỤC HOẠT ĐỘNG KHÔNG VÌ LỢI NHUẬN</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b/>
          <w:bCs/>
          <w:color w:val="000000"/>
          <w:sz w:val="26"/>
          <w:szCs w:val="26"/>
          <w:lang w:val="vi-VN"/>
        </w:rPr>
        <w:t>Điều 6. Chuyển đổi nhà trẻ, trường mẫu giáo, trường mầm non tư thục sang nhà trẻ, trường mẫu giáo, trường mầm non tư thục hoạt động không vì lợi nhuận</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1. </w:t>
      </w:r>
      <w:r w:rsidRPr="00AD2DAB">
        <w:rPr>
          <w:rFonts w:eastAsia="Times New Roman"/>
          <w:color w:val="000000"/>
          <w:sz w:val="26"/>
          <w:szCs w:val="26"/>
          <w:lang w:val="vi-VN"/>
        </w:rPr>
        <w:t>Hồ sơ chuyển đổi bao gồm:</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a) </w:t>
      </w:r>
      <w:r w:rsidRPr="00AD2DAB">
        <w:rPr>
          <w:rFonts w:eastAsia="Times New Roman"/>
          <w:color w:val="000000"/>
          <w:sz w:val="26"/>
          <w:szCs w:val="26"/>
          <w:lang w:val="vi-VN"/>
        </w:rPr>
        <w:t>Tờ trình đề nghị chuyển đổi nhà trẻ, trường mẫu giáo, trường mầm non tư thục sang nhà trẻ, trường mẫu giáo, trường mầm non tư thục hoạt động không vì lợi nhuận, trong đó nêu rõ sự cần thiết phải chuyển đổi; tôn chỉ, mục đích hoạt động không vì lợi nhuận; phần vốn góp, phần tài sản thuộc sở hữu chung hợp nhất không phân chia của nhà trẻ, trường mẫu giáo, trường mầm non tư thục (nếu có);</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b) </w:t>
      </w:r>
      <w:r w:rsidRPr="00AD2DAB">
        <w:rPr>
          <w:rFonts w:eastAsia="Times New Roman"/>
          <w:color w:val="000000"/>
          <w:sz w:val="26"/>
          <w:szCs w:val="26"/>
          <w:lang w:val="vi-VN"/>
        </w:rPr>
        <w:t xml:space="preserve">Văn bản cam kết của các nhà đầu tư đại diện ít nhất 75% tổng số vốn góp đối với nhà trẻ, trường mẫu giáo, trường mầm non tư thục chuyển sang nhà trẻ, trường mẫu giáo, trường mầm non tư thục hoạt động không vì lợi nhuận, bảo đảm thực hiện hoạt động </w:t>
      </w:r>
      <w:r w:rsidRPr="00AD2DAB">
        <w:rPr>
          <w:rFonts w:eastAsia="Times New Roman"/>
          <w:color w:val="000000"/>
          <w:sz w:val="26"/>
          <w:szCs w:val="26"/>
          <w:lang w:val="vi-VN"/>
        </w:rPr>
        <w:lastRenderedPageBreak/>
        <w:t>không vì lợi nhuận, không rút vốn, không hưởng lợi tức; phần lợi nhuận tích lũy hằng năm thuộc sở hữu chung hợp nhất không phân chia để tiếp tục đầu tư phát triển nhà trẻ, trường mẫu giáo, trường mầm non tư thục;</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c) </w:t>
      </w:r>
      <w:r w:rsidRPr="00AD2DAB">
        <w:rPr>
          <w:rFonts w:eastAsia="Times New Roman"/>
          <w:color w:val="000000"/>
          <w:sz w:val="26"/>
          <w:szCs w:val="26"/>
          <w:lang w:val="vi-VN"/>
        </w:rPr>
        <w:t>Dự thảo quy chế tổ chức và hoạt động; dự thảo quy chế tài chính nội bộ của nhà trẻ, trường mẫu giáo, trường mầm non tư thục hoạt động không vì lợi nhuận;</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d) </w:t>
      </w:r>
      <w:r w:rsidRPr="00AD2DAB">
        <w:rPr>
          <w:rFonts w:eastAsia="Times New Roman"/>
          <w:color w:val="000000"/>
          <w:sz w:val="26"/>
          <w:szCs w:val="26"/>
          <w:lang w:val="vi-VN"/>
        </w:rPr>
        <w:t>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nhà trẻ, trường mẫu giáo, trường mầm non tư thục hoạt động không vì lợi nhuận (nếu có); các giấy tờ, tài liệu về đất đai, tài sản, tài chính, tổ chức và nhân sự của nhà trẻ, trường mẫu giáo, trường mầm non tư thục chuyển đổi sang nhà trẻ, trường mẫu giáo, trường mầm non tư thục hoạt động không vì lợi nhuận;</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đ) Báo cáo đánh giá tác động của việc chuyển đổi về nhân sự, tài chính, tài sản và phương án xử lý;</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e) </w:t>
      </w:r>
      <w:r w:rsidRPr="00AD2DAB">
        <w:rPr>
          <w:rFonts w:eastAsia="Times New Roman"/>
          <w:color w:val="000000"/>
          <w:sz w:val="26"/>
          <w:szCs w:val="26"/>
          <w:lang w:val="vi-VN"/>
        </w:rPr>
        <w:t>Quyết định thành lập nhà trẻ, trường mẫu giáo, trường mầm non tư thục, quyết định công nhận hội đồng trường đương nhiệm, quyết định công nhận hiệu trưởng đương nhiệm của nhà trẻ, trường mẫu giáo, trường mầm non tư thục và các tài liệu liên quan khác (nếu có).</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2. </w:t>
      </w:r>
      <w:r w:rsidRPr="00AD2DAB">
        <w:rPr>
          <w:rFonts w:eastAsia="Times New Roman"/>
          <w:color w:val="000000"/>
          <w:sz w:val="26"/>
          <w:szCs w:val="26"/>
          <w:lang w:val="vi-VN"/>
        </w:rPr>
        <w:t>Quy trình xử lý hồ sơ chuyển đổi như sau:</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a) </w:t>
      </w:r>
      <w:r w:rsidRPr="00AD2DAB">
        <w:rPr>
          <w:rFonts w:eastAsia="Times New Roman"/>
          <w:color w:val="000000"/>
          <w:sz w:val="26"/>
          <w:szCs w:val="26"/>
          <w:lang w:val="vi-VN"/>
        </w:rPr>
        <w:t>Nhà trẻ, trường mẫu giáo, trường mầm non tư thục gửi 01 bộ hồ sơ theo quy định tại khoản 1 Điều này trực tiếp hoặc qua bưu điện hoặc nộp trực tuyến kèm theo bản mềm đến Ủy ban nhân dân quận, huyện, thành phố, thị xã thuộc tỉnh (sau đây gọi chung là Ủy ban nhân dân cấp huyện) đối với nhà trẻ, trường mẫu giáo, trường mầm non tư thục do nhà đầu tư trong nước đầu tư và bảo đảm điều kiện hoạt động; Ủy ban nhân dân cấp tỉnh đối với nhà trẻ, trường mẫu giáo, trường mầm non tư thục do nhà đầu tư nước ngoài đầu tư và bảo đảm điều kiện hoạt động; Bộ Giáo dục và Đào tạo đối với cơ sở giáo dục mầm non tư thục do cơ quan đại diện ngoại giao nước ngoài, tổ chức quốc tế liên chính phủ đề nghị;</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b) </w:t>
      </w:r>
      <w:r w:rsidRPr="00AD2DAB">
        <w:rPr>
          <w:rFonts w:eastAsia="Times New Roman"/>
          <w:color w:val="000000"/>
          <w:sz w:val="26"/>
          <w:szCs w:val="26"/>
          <w:lang w:val="vi-VN"/>
        </w:rPr>
        <w:t>Trong thời hạn 20 ngày làm việc tính từ ngày nhận đủ hồ sơ theo quy định tại khoản 1 Điều này, Phòng Giáo dục và Đào tạo đối với nhà trẻ, trường mẫu giáo, trường mầm non tư thục do nhà đầu tư trong nước đầu tư và bảo đảm điều kiện hoạt động; Sở Giáo dục và Đào tạo đối với nhà trẻ, trường mẫu giáo, trường mầm non tư thục do nhà đầu tư nước ngoài đầu tư và bảo đảm điều kiện hoạt động tổ chức thẩm định hồ sơ, trình Ủy ban nhân cấp huyện hoặc Ủy ban nhân dân cấp tỉnh theo thẩm quyền quyết định chuyển đổi.</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Trong thời hạn 20 ngày làm việc tính từ ngày nhận đủ hồ sơ theo quy định tại khoản 1 Điều này, Bộ Giáo dục và Đào tạo tổ chức thẩm định hồ sơ và quyết định chuyển đổi đối với cơ sở giáo dục mầm non tư thục do cơ quan đại diện ngoại giao nước ngoài, tổ chức quốc tế liên chính phủ đề nghị.</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Quyết định chuyển đổi được công bố công khai trên cổng thông tin điện tử hoặc trang thông tin điện tử của cơ quan quyết định chuyển đổi.</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c) </w:t>
      </w:r>
      <w:r w:rsidRPr="00AD2DAB">
        <w:rPr>
          <w:rFonts w:eastAsia="Times New Roman"/>
          <w:color w:val="000000"/>
          <w:sz w:val="26"/>
          <w:szCs w:val="26"/>
          <w:lang w:val="vi-VN"/>
        </w:rPr>
        <w:t xml:space="preserve">Trường hợp hồ sơ không bảo đảm theo quy định, trong thời hạn 05 ngày làm việc tính từ ngày nhận hồ sơ, Ủy ban nhân cấp huyện, Ủy ban nhân dân cấp tỉnh hoặc Bộ </w:t>
      </w:r>
      <w:r w:rsidRPr="00AD2DAB">
        <w:rPr>
          <w:rFonts w:eastAsia="Times New Roman"/>
          <w:color w:val="000000"/>
          <w:sz w:val="26"/>
          <w:szCs w:val="26"/>
          <w:lang w:val="vi-VN"/>
        </w:rPr>
        <w:lastRenderedPageBreak/>
        <w:t>Giáo dục và Đào tạo gửi văn bản thông báo cho nhà trẻ, trường mẫu giáo, trường mầm non tư thục và nêu rõ lý do.</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b/>
          <w:bCs/>
          <w:color w:val="000000"/>
          <w:sz w:val="26"/>
          <w:szCs w:val="26"/>
          <w:lang w:val="vi-VN"/>
        </w:rPr>
        <w:t>Điều 7. Chuyển đổi cơ sở giáo dục phổ thông tư thục sang cơ sở giáo dục phổ thông tư thục hoạt động không vì lợi nhuận</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1. </w:t>
      </w:r>
      <w:r w:rsidRPr="00AD2DAB">
        <w:rPr>
          <w:rFonts w:eastAsia="Times New Roman"/>
          <w:color w:val="000000"/>
          <w:sz w:val="26"/>
          <w:szCs w:val="26"/>
          <w:lang w:val="vi-VN"/>
        </w:rPr>
        <w:t>Hồ sơ chuyển đổi bao gồm:</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a) </w:t>
      </w:r>
      <w:r w:rsidRPr="00AD2DAB">
        <w:rPr>
          <w:rFonts w:eastAsia="Times New Roman"/>
          <w:color w:val="000000"/>
          <w:sz w:val="26"/>
          <w:szCs w:val="26"/>
          <w:lang w:val="vi-VN"/>
        </w:rPr>
        <w:t>Tờ trình đề nghị chuyển đổi cơ sở giáo dục phổ thông tư thục sang cơ sở giáo dục phổ thông tư thục hoạt động không vì lợi nhuận, trong đó nêu rõ sự cần thiết phải chuyển đổi; tôn chỉ, mục đích hoạt động không vì lợi nhuận; phân vốn góp, phần tài sản thuộc sở hữu chung hợp nhất không phân chia của nhà trường (nếu có);</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b) </w:t>
      </w:r>
      <w:r w:rsidRPr="00AD2DAB">
        <w:rPr>
          <w:rFonts w:eastAsia="Times New Roman"/>
          <w:color w:val="000000"/>
          <w:sz w:val="26"/>
          <w:szCs w:val="26"/>
          <w:lang w:val="vi-VN"/>
        </w:rPr>
        <w:t>Văn bản cam kết của các nhà đầu tư đại diện ít nhất 75% tổng số vốn góp đối với cơ sở giáo dục phổ thông tư thục chuyển sang cơ sở giáo dục phổ thông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cơ sở giáo dục phổ thông tư thục;</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c) </w:t>
      </w:r>
      <w:r w:rsidRPr="00AD2DAB">
        <w:rPr>
          <w:rFonts w:eastAsia="Times New Roman"/>
          <w:color w:val="000000"/>
          <w:sz w:val="26"/>
          <w:szCs w:val="26"/>
          <w:lang w:val="vi-VN"/>
        </w:rPr>
        <w:t>Dự thảo quy chế tổ chức và hoạt động; dự thảo quy chế tài chính nội bộ của cơ sở giáo dục phổ thông tư thục hoạt động không vì lợi nhuận;</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d) </w:t>
      </w:r>
      <w:r w:rsidRPr="00AD2DAB">
        <w:rPr>
          <w:rFonts w:eastAsia="Times New Roman"/>
          <w:color w:val="000000"/>
          <w:sz w:val="26"/>
          <w:szCs w:val="26"/>
          <w:lang w:val="vi-VN"/>
        </w:rPr>
        <w:t>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cơ sở giáo dục phổ thông tư thục hoạt động không vì lợi nhuận (nếu có); các giấy tờ, tài liệu về đất đai, tài sản, tài chính, tổ chức và nhân sự của cơ sở giáo dục phổ thông tư thục chuyển đổi sang cơ sở giáo dục phổ thông tư thục hoạt động không vì lợi nhuận;</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đ) Báo cáo đánh giá tác động của việc chuyển đổi về nhân sự, tài chính, tài sản và phương án xử lý;</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e) </w:t>
      </w:r>
      <w:r w:rsidRPr="00AD2DAB">
        <w:rPr>
          <w:rFonts w:eastAsia="Times New Roman"/>
          <w:color w:val="000000"/>
          <w:sz w:val="26"/>
          <w:szCs w:val="26"/>
          <w:lang w:val="vi-VN"/>
        </w:rPr>
        <w:t>Quyết định thành lập cơ sở giáo dục phổ thông tư thục, quyết định công nhận hội đồng trường đương nhiệm, quyết định công nhận hiệu trưởng đương nhiệm của cơ sở giáo dục phổ thông tư thục và các tài liệu liên quan khác (nếu có).</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2. </w:t>
      </w:r>
      <w:r w:rsidRPr="00AD2DAB">
        <w:rPr>
          <w:rFonts w:eastAsia="Times New Roman"/>
          <w:color w:val="000000"/>
          <w:sz w:val="26"/>
          <w:szCs w:val="26"/>
          <w:lang w:val="vi-VN"/>
        </w:rPr>
        <w:t>Quy trình chuyển đổi:</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a) </w:t>
      </w:r>
      <w:r w:rsidRPr="00AD2DAB">
        <w:rPr>
          <w:rFonts w:eastAsia="Times New Roman"/>
          <w:color w:val="000000"/>
          <w:sz w:val="26"/>
          <w:szCs w:val="26"/>
          <w:lang w:val="vi-VN"/>
        </w:rPr>
        <w:t>Cơ sở giáo dục phổ thông tư thục gửi 01 bộ hồ sơ theo quy định tại khoản 1 Điều này trực tiếp hoặc qua bưu điện hoặc nộp trực tuyến kèm theo bản mềm đến Ủy ban nhân dân cấp huyện đối với trường tiểu học tư thục, trường trung học cơ sở tư thục và trường phổ thông tư thục có nhiều cấp học có cấp học cao nhất là trung học cơ sở do nhà đầu tư trong nước đầu tư và bảo đảm điều kiện hoạt động; Ủy ban nhân dân cấp tỉnh đối với trường trung học phổ thông tư thục, trường phổ thông tư thục có nhiều cấp học có cấp học cao nhất là trung học phổ thông do nhà đầu tư trong nước đầu tư và bảo đảm điều kiện hoạt động và cơ sở giáo dục phổ thông tư thục do nhà đầu tư nước ngoài đầu tư và bảo đảm điều kiện hoạt động; Bộ Giáo dục và Đào tạo đối với cơ sở giáo dục phổ thông tư thục do cơ quan đại diện ngoại giao nước ngoài, tổ chức quốc tế liên chính phủ đề nghị;</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b) </w:t>
      </w:r>
      <w:r w:rsidRPr="00AD2DAB">
        <w:rPr>
          <w:rFonts w:eastAsia="Times New Roman"/>
          <w:color w:val="000000"/>
          <w:sz w:val="26"/>
          <w:szCs w:val="26"/>
          <w:lang w:val="vi-VN"/>
        </w:rPr>
        <w:t xml:space="preserve">Trong thời hạn 20 ngày làm việc tính từ ngày nhận đủ hồ sơ theo quy định tại khoản 1 Điều này, Phòng Giáo dục và Đào tạo đối với trường tiểu học tư thục, trường trung học cơ sở tư thục và trường phổ thông tư thục có nhiều cấp học có cấp học cao nhất là trung học cơ sở do nhà đầu tư trong nước đầu tư và bảo đảm điều kiện hoạt động; Sở Giáo dục và Đào tạo đối với trường trung học phổ thông tư thục, trường phổ thông tư </w:t>
      </w:r>
      <w:r w:rsidRPr="00AD2DAB">
        <w:rPr>
          <w:rFonts w:eastAsia="Times New Roman"/>
          <w:color w:val="000000"/>
          <w:sz w:val="26"/>
          <w:szCs w:val="26"/>
          <w:lang w:val="vi-VN"/>
        </w:rPr>
        <w:lastRenderedPageBreak/>
        <w:t>thục có nhiều cấp học có cấp học cao nhất là trung học phổ thông do nhà đầu tư trong nước đầu tư và bảo đảm điều kiện hoạt động và cơ sở giáo dục phổ thông tư thục do nhà đầu tư nước ngoài đầu tư và bảo đảm điều kiện hoạt động tổ chức thẩm định hồ sơ, trình Ủy ban nhân dân cấp huyện hoặc Ủy ban nhân dân cấp tỉnh theo thẩm quyền quyết định chuyển đổi.</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Trong thời hạn 20 ngày làm việc tính từ ngày nhận đủ hồ sơ theo quy định tại khoản 1 Điều này, Bộ Giáo dục và Đào tạo tổ chức thẩm định hồ sơ và quyết định chuyển đổi đối với cơ sở giáo dục phổ thông tư thục do cơ quan đại diện ngoại giao nước ngoài, tổ chức quốc tế liên chính phủ đề nghị.</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Quyết định chuyển đổi được công bố công khai trên cổng thông tin điện tử hoặc trang thông tin điện tử của cơ quan quyết định chuyển đổi.</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c) </w:t>
      </w:r>
      <w:r w:rsidRPr="00AD2DAB">
        <w:rPr>
          <w:rFonts w:eastAsia="Times New Roman"/>
          <w:color w:val="000000"/>
          <w:sz w:val="26"/>
          <w:szCs w:val="26"/>
          <w:lang w:val="vi-VN"/>
        </w:rPr>
        <w:t>Trường hợp hồ sơ không bảo đảm theo quy định, trong thời hạn 05 ngày làm việc tính từ ngày nhận hồ sơ, Ủy ban nhân cấp huyện, Ủy ban nhân dân cấp tỉnh hoặc Bộ Giáo dục và Đào tạo gửi văn bản thông báo cho cơ sở giáo dục phổ thông tư thục và nêu rõ lý do.</w:t>
      </w:r>
    </w:p>
    <w:p w:rsidR="00AD2DAB" w:rsidRPr="00AD2DAB" w:rsidRDefault="00AD2DAB" w:rsidP="001541F3">
      <w:pPr>
        <w:shd w:val="clear" w:color="auto" w:fill="FFFFFF"/>
        <w:spacing w:before="120" w:after="120" w:line="234" w:lineRule="atLeast"/>
        <w:jc w:val="center"/>
        <w:rPr>
          <w:rFonts w:eastAsia="Times New Roman"/>
          <w:color w:val="000000"/>
          <w:sz w:val="26"/>
          <w:szCs w:val="26"/>
          <w:highlight w:val="yellow"/>
        </w:rPr>
      </w:pPr>
      <w:r w:rsidRPr="00AD2DAB">
        <w:rPr>
          <w:rFonts w:eastAsia="Times New Roman"/>
          <w:b/>
          <w:bCs/>
          <w:color w:val="000000"/>
          <w:sz w:val="26"/>
          <w:szCs w:val="26"/>
          <w:highlight w:val="yellow"/>
          <w:lang w:val="vi-VN"/>
        </w:rPr>
        <w:t>Chương IV</w:t>
      </w:r>
    </w:p>
    <w:p w:rsidR="00AD2DAB" w:rsidRPr="00AD2DAB" w:rsidRDefault="00AD2DAB" w:rsidP="00AD2DAB">
      <w:pPr>
        <w:shd w:val="clear" w:color="auto" w:fill="FFFFFF"/>
        <w:spacing w:before="120" w:after="120" w:line="234" w:lineRule="atLeast"/>
        <w:jc w:val="center"/>
        <w:rPr>
          <w:rFonts w:eastAsia="Times New Roman"/>
          <w:color w:val="000000"/>
          <w:sz w:val="26"/>
          <w:szCs w:val="26"/>
        </w:rPr>
      </w:pPr>
      <w:r w:rsidRPr="00AD2DAB">
        <w:rPr>
          <w:rFonts w:eastAsia="Times New Roman"/>
          <w:b/>
          <w:bCs/>
          <w:color w:val="000000"/>
          <w:sz w:val="26"/>
          <w:szCs w:val="26"/>
          <w:highlight w:val="yellow"/>
          <w:lang w:val="vi-VN"/>
        </w:rPr>
        <w:t>HỌC BỔNG KHUYẾN KHÍCH HỌC TẬP, HỌC BỔNG CHÍNH SÁCH VÀ</w:t>
      </w:r>
      <w:r w:rsidRPr="00AD2DAB">
        <w:rPr>
          <w:rFonts w:eastAsia="Times New Roman"/>
          <w:b/>
          <w:bCs/>
          <w:color w:val="000000"/>
          <w:sz w:val="26"/>
          <w:szCs w:val="26"/>
          <w:lang w:val="vi-VN"/>
        </w:rPr>
        <w:t xml:space="preserve"> MIỄN, GIẢM GIÁ VÉ DỊCH VỤ CÔNG CỘNG CHO HỌC SINH, SINH VIÊN</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b/>
          <w:bCs/>
          <w:color w:val="000000"/>
          <w:sz w:val="26"/>
          <w:szCs w:val="26"/>
          <w:highlight w:val="yellow"/>
          <w:lang w:val="vi-VN"/>
        </w:rPr>
        <w:t>Điều 8. Học bổng khuyến khích học tập</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highlight w:val="yellow"/>
        </w:rPr>
        <w:t>1. </w:t>
      </w:r>
      <w:r w:rsidRPr="00AD2DAB">
        <w:rPr>
          <w:rFonts w:eastAsia="Times New Roman"/>
          <w:color w:val="000000"/>
          <w:sz w:val="26"/>
          <w:szCs w:val="26"/>
          <w:highlight w:val="yellow"/>
          <w:lang w:val="vi-VN"/>
        </w:rPr>
        <w:t>Đối tượng xét, cấp học bổng khuyến khích học tập:</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a) </w:t>
      </w:r>
      <w:r w:rsidRPr="00AD2DAB">
        <w:rPr>
          <w:rFonts w:eastAsia="Times New Roman"/>
          <w:color w:val="000000"/>
          <w:sz w:val="26"/>
          <w:szCs w:val="26"/>
          <w:lang w:val="vi-VN"/>
        </w:rPr>
        <w:t>Học sinh khối trung học phổ thông chuyên trong cơ sở giáo dục đại học, học sinh trường chuyên có hạnh kiểm tốt, học lực giỏi trong kỳ xét, cấp học bổng có điểm môn chuyên của học kỳ xét cấp từ 8,5 trở lên hoặc đạt một trong các giải từ khuyến khích trở lên trong kỳ thi học sinh giỏi cấp quốc gia, khu vực hoặc quốc tế của năm đó;</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b) </w:t>
      </w:r>
      <w:r w:rsidRPr="00AD2DAB">
        <w:rPr>
          <w:rFonts w:eastAsia="Times New Roman"/>
          <w:color w:val="000000"/>
          <w:sz w:val="26"/>
          <w:szCs w:val="26"/>
          <w:lang w:val="vi-VN"/>
        </w:rPr>
        <w:t>Học sinh các trường năng khiếu nghệ thuật, thể dục, thể thao có hạnh kiểm từ loại khá trở lên, học lực đạt từ trung bình trong kỳ xét, cấp học bổng và đạt giải hoặc huy chương trong cuộc thi cấp quốc gia, khu vực hoặc quốc tế của năm học đó;</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highlight w:val="yellow"/>
        </w:rPr>
        <w:t>c) </w:t>
      </w:r>
      <w:r w:rsidRPr="00AD2DAB">
        <w:rPr>
          <w:rFonts w:eastAsia="Times New Roman"/>
          <w:color w:val="000000"/>
          <w:sz w:val="26"/>
          <w:szCs w:val="26"/>
          <w:highlight w:val="yellow"/>
          <w:lang w:val="vi-VN"/>
        </w:rPr>
        <w:t>Học sinh, sinh viên đang học trong các cơ sở giáo dục nghề nghiệp, cơ sở giáo dục đại học có kết quả học tập, rèn luyện từ loại khá trở lên, không bị kỷ luật từ mức khiển trách trở lên trong kỳ xét cấp học bổng.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2. </w:t>
      </w:r>
      <w:r w:rsidRPr="00AD2DAB">
        <w:rPr>
          <w:rFonts w:eastAsia="Times New Roman"/>
          <w:color w:val="000000"/>
          <w:sz w:val="26"/>
          <w:szCs w:val="26"/>
          <w:lang w:val="vi-VN"/>
        </w:rPr>
        <w:t>Mức học bổng đối với đối tượng quy định tại điểm a và điểm b khoản 1 Điều này:</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a) </w:t>
      </w:r>
      <w:r w:rsidRPr="00AD2DAB">
        <w:rPr>
          <w:rFonts w:eastAsia="Times New Roman"/>
          <w:color w:val="000000"/>
          <w:sz w:val="26"/>
          <w:szCs w:val="26"/>
          <w:lang w:val="vi-VN"/>
        </w:rPr>
        <w:t>Đối với trường chuyên, trường năng khiếu nghệ thuật, thể dục, thể thao: Mức học bổng cấp cho một học sinh một tháng tối thiểu bằng ba lần mức học phí hiện hành của trường trung học phổ thông chuyên tại địa phương;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b) </w:t>
      </w:r>
      <w:r w:rsidRPr="00AD2DAB">
        <w:rPr>
          <w:rFonts w:eastAsia="Times New Roman"/>
          <w:color w:val="000000"/>
          <w:sz w:val="26"/>
          <w:szCs w:val="26"/>
          <w:lang w:val="vi-VN"/>
        </w:rPr>
        <w:t>Đối với khối trung học phổ thông chuyên trong cơ sở giáo dục đại học: Mức học bổng cấp cho một học sinh do hiệu trưởng cơ sở giáo dục đại học quy định nhưng không thấp hơn mức trần học phí hiện hành mà học sinh đó phải đóng tại trường;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c) </w:t>
      </w:r>
      <w:r w:rsidRPr="00AD2DAB">
        <w:rPr>
          <w:rFonts w:eastAsia="Times New Roman"/>
          <w:color w:val="000000"/>
          <w:sz w:val="26"/>
          <w:szCs w:val="26"/>
          <w:lang w:val="vi-VN"/>
        </w:rPr>
        <w:t>Đối với những trường không thu học phí: Mức học bổng tối thiểu bằng ba lần mức trần học phí của trường trung học phổ thông tại địa phương.</w:t>
      </w:r>
    </w:p>
    <w:p w:rsidR="00AD2DAB" w:rsidRPr="00AD2DAB" w:rsidRDefault="00AD2DAB" w:rsidP="00AD2DAB">
      <w:pPr>
        <w:shd w:val="clear" w:color="auto" w:fill="FFFFFF"/>
        <w:spacing w:before="120" w:after="120" w:line="234" w:lineRule="atLeast"/>
        <w:rPr>
          <w:rFonts w:eastAsia="Times New Roman"/>
          <w:color w:val="000000"/>
          <w:sz w:val="26"/>
          <w:szCs w:val="26"/>
          <w:highlight w:val="yellow"/>
        </w:rPr>
      </w:pPr>
      <w:r w:rsidRPr="00AD2DAB">
        <w:rPr>
          <w:rFonts w:eastAsia="Times New Roman"/>
          <w:color w:val="000000"/>
          <w:sz w:val="26"/>
          <w:szCs w:val="26"/>
          <w:highlight w:val="yellow"/>
        </w:rPr>
        <w:t>3. </w:t>
      </w:r>
      <w:r w:rsidRPr="00AD2DAB">
        <w:rPr>
          <w:rFonts w:eastAsia="Times New Roman"/>
          <w:color w:val="000000"/>
          <w:sz w:val="26"/>
          <w:szCs w:val="26"/>
          <w:highlight w:val="yellow"/>
          <w:lang w:val="vi-VN"/>
        </w:rPr>
        <w:t>Mức học bổng đối với đối tượng quy định tại điểm c khoản 1 Điều này:</w:t>
      </w:r>
    </w:p>
    <w:p w:rsidR="00AD2DAB" w:rsidRPr="00AD2DAB" w:rsidRDefault="00AD2DAB" w:rsidP="00AD2DAB">
      <w:pPr>
        <w:shd w:val="clear" w:color="auto" w:fill="FFFFFF"/>
        <w:spacing w:before="120" w:after="120" w:line="234" w:lineRule="atLeast"/>
        <w:rPr>
          <w:rFonts w:eastAsia="Times New Roman"/>
          <w:color w:val="000000"/>
          <w:sz w:val="26"/>
          <w:szCs w:val="26"/>
          <w:highlight w:val="yellow"/>
        </w:rPr>
      </w:pPr>
      <w:r w:rsidRPr="00AD2DAB">
        <w:rPr>
          <w:rFonts w:eastAsia="Times New Roman"/>
          <w:color w:val="000000"/>
          <w:sz w:val="26"/>
          <w:szCs w:val="26"/>
          <w:highlight w:val="yellow"/>
        </w:rPr>
        <w:t>a) </w:t>
      </w:r>
      <w:r w:rsidRPr="00AD2DAB">
        <w:rPr>
          <w:rFonts w:eastAsia="Times New Roman"/>
          <w:color w:val="000000"/>
          <w:sz w:val="26"/>
          <w:szCs w:val="26"/>
          <w:highlight w:val="yellow"/>
          <w:lang w:val="vi-VN"/>
        </w:rPr>
        <w:t xml:space="preserve">Học bổng loại khá: Mức học bổng bằng hoặc cao hơn mức trần học phí hiện hành của ngành, chuyên ngành, nghề mà học sinh, sinh viên đó phải đóng tại trường do hiệu </w:t>
      </w:r>
      <w:r w:rsidRPr="00AD2DAB">
        <w:rPr>
          <w:rFonts w:eastAsia="Times New Roman"/>
          <w:color w:val="000000"/>
          <w:sz w:val="26"/>
          <w:szCs w:val="26"/>
          <w:highlight w:val="yellow"/>
          <w:lang w:val="vi-VN"/>
        </w:rPr>
        <w:lastRenderedPageBreak/>
        <w:t>trưởng hoặc giám đốc quy định (sau đây gọi chung là hiệu trưởng) đối với học sinh, sinh viên có điểm trung bình chung học tập và điểm rèn luyện đều đạt loại khá trở lên. Đối với các trường tư thục mức học bổng tối thiểu do hiệu trưởng quy định.</w:t>
      </w:r>
    </w:p>
    <w:p w:rsidR="00AD2DAB" w:rsidRPr="00AD2DAB" w:rsidRDefault="00AD2DAB" w:rsidP="00AD2DAB">
      <w:pPr>
        <w:shd w:val="clear" w:color="auto" w:fill="FFFFFF"/>
        <w:spacing w:before="120" w:after="120" w:line="234" w:lineRule="atLeast"/>
        <w:rPr>
          <w:rFonts w:eastAsia="Times New Roman"/>
          <w:color w:val="000000"/>
          <w:sz w:val="26"/>
          <w:szCs w:val="26"/>
          <w:highlight w:val="yellow"/>
        </w:rPr>
      </w:pPr>
      <w:r w:rsidRPr="00AD2DAB">
        <w:rPr>
          <w:rFonts w:eastAsia="Times New Roman"/>
          <w:color w:val="000000"/>
          <w:sz w:val="26"/>
          <w:szCs w:val="26"/>
          <w:highlight w:val="yellow"/>
          <w:lang w:val="vi-VN"/>
        </w:rPr>
        <w:t>Đối với những ngành nghề đào tạo không thu học phí thì áp dụng theo đơn giá được Nhà nước đặt hàng, giao nhiệm vụ hoặc đấu thầu cho nhóm ngành đào tạo của trường;</w:t>
      </w:r>
    </w:p>
    <w:p w:rsidR="00AD2DAB" w:rsidRPr="00AD2DAB" w:rsidRDefault="00AD2DAB" w:rsidP="00AD2DAB">
      <w:pPr>
        <w:shd w:val="clear" w:color="auto" w:fill="FFFFFF"/>
        <w:spacing w:before="120" w:after="120" w:line="234" w:lineRule="atLeast"/>
        <w:rPr>
          <w:rFonts w:eastAsia="Times New Roman"/>
          <w:color w:val="000000"/>
          <w:sz w:val="26"/>
          <w:szCs w:val="26"/>
          <w:highlight w:val="yellow"/>
        </w:rPr>
      </w:pPr>
      <w:r w:rsidRPr="00AD2DAB">
        <w:rPr>
          <w:rFonts w:eastAsia="Times New Roman"/>
          <w:color w:val="000000"/>
          <w:sz w:val="26"/>
          <w:szCs w:val="26"/>
          <w:highlight w:val="yellow"/>
        </w:rPr>
        <w:t>b) </w:t>
      </w:r>
      <w:r w:rsidRPr="00AD2DAB">
        <w:rPr>
          <w:rFonts w:eastAsia="Times New Roman"/>
          <w:color w:val="000000"/>
          <w:sz w:val="26"/>
          <w:szCs w:val="26"/>
          <w:highlight w:val="yellow"/>
          <w:lang w:val="vi-VN"/>
        </w:rPr>
        <w:t>Học bổng loại giỏi: Mức học bổng cao hơn loại khá do hiệu trưởng quy định đối với học sinh, sinh viên có điểm trung bình chung học tập đạt loại giỏi trở lên và điểm rèn luyện đạt loại tốt trở lên;</w:t>
      </w:r>
    </w:p>
    <w:p w:rsidR="00AD2DAB" w:rsidRPr="00AD2DAB" w:rsidRDefault="00AD2DAB" w:rsidP="00AD2DAB">
      <w:pPr>
        <w:shd w:val="clear" w:color="auto" w:fill="FFFFFF"/>
        <w:spacing w:before="120" w:after="120" w:line="234" w:lineRule="atLeast"/>
        <w:rPr>
          <w:rFonts w:eastAsia="Times New Roman"/>
          <w:color w:val="000000"/>
          <w:sz w:val="26"/>
          <w:szCs w:val="26"/>
          <w:highlight w:val="yellow"/>
        </w:rPr>
      </w:pPr>
      <w:r w:rsidRPr="00AD2DAB">
        <w:rPr>
          <w:rFonts w:eastAsia="Times New Roman"/>
          <w:color w:val="000000"/>
          <w:sz w:val="26"/>
          <w:szCs w:val="26"/>
          <w:highlight w:val="yellow"/>
        </w:rPr>
        <w:t>c) </w:t>
      </w:r>
      <w:r w:rsidRPr="00AD2DAB">
        <w:rPr>
          <w:rFonts w:eastAsia="Times New Roman"/>
          <w:color w:val="000000"/>
          <w:sz w:val="26"/>
          <w:szCs w:val="26"/>
          <w:highlight w:val="yellow"/>
          <w:lang w:val="vi-VN"/>
        </w:rPr>
        <w:t>Học bổng loại xuất sắc: Mức học bổng cao hơn loại giỏi do hiệu trưởng quy định đối với học sinh, sinh viên có điểm trung bình chung học tập và điểm rèn luyện đều đạt loại xuất sắc;</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highlight w:val="yellow"/>
        </w:rPr>
        <w:t>d) </w:t>
      </w:r>
      <w:r w:rsidRPr="00AD2DAB">
        <w:rPr>
          <w:rFonts w:eastAsia="Times New Roman"/>
          <w:color w:val="000000"/>
          <w:sz w:val="26"/>
          <w:szCs w:val="26"/>
          <w:highlight w:val="yellow"/>
          <w:lang w:val="vi-VN"/>
        </w:rPr>
        <w:t>Điểm trung bình chung học tập và điểm rèn luyện quy định tại các điểm a, b và c khoản này được xác định theo quy định hiện hành của Bộ Giáo dục và Đào tạo, Bộ Lao động - Thương binh và Xã hội; trong đó điểm trung bình chung học tập để xét học bổng theo quy định tại Nghị định này được tính từ điểm thi, kiểm tra hết môn học lần thứ nhất.</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4. </w:t>
      </w:r>
      <w:r w:rsidRPr="00AD2DAB">
        <w:rPr>
          <w:rFonts w:eastAsia="Times New Roman"/>
          <w:color w:val="000000"/>
          <w:sz w:val="26"/>
          <w:szCs w:val="26"/>
          <w:lang w:val="vi-VN"/>
        </w:rPr>
        <w:t>Nguồn học bổng: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a) </w:t>
      </w:r>
      <w:r w:rsidRPr="00AD2DAB">
        <w:rPr>
          <w:rFonts w:eastAsia="Times New Roman"/>
          <w:color w:val="000000"/>
          <w:sz w:val="26"/>
          <w:szCs w:val="26"/>
          <w:lang w:val="vi-VN"/>
        </w:rPr>
        <w:t>Đối với trường chuyên, trường năng khiếu nghệ thuật, thể dục, thể thao: Học bổng khuyến khích học tập được bố trí trong dự toán chi ngân sách địa phương để cấp cho tối thiểu 30% số học sinh chuyên của trường. Đối với khối trung học phổ thông chuyên trong cơ sở giáo dục đại học, học bổng khuyến khích học tập được bố trí từ nguồn thu hợp pháp của cơ sở giáo dục đại học và từ nguồn thu hợp pháp của trường trung học phổ thông chuyên;</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highlight w:val="yellow"/>
        </w:rPr>
        <w:t>b) </w:t>
      </w:r>
      <w:r w:rsidRPr="00AD2DAB">
        <w:rPr>
          <w:rFonts w:eastAsia="Times New Roman"/>
          <w:color w:val="000000"/>
          <w:sz w:val="26"/>
          <w:szCs w:val="26"/>
          <w:highlight w:val="yellow"/>
          <w:lang w:val="vi-VN"/>
        </w:rPr>
        <w:t>Đối với các cơ sở giáo dục nghề nghiệp, cơ sở giáo dục đại học: Học bổng khuyến khích học tập được bố trí tối thiểu 8% nguồn thu học phí đối với trường công lập</w:t>
      </w:r>
      <w:r w:rsidRPr="00AD2DAB">
        <w:rPr>
          <w:rFonts w:eastAsia="Times New Roman"/>
          <w:color w:val="000000"/>
          <w:sz w:val="26"/>
          <w:szCs w:val="26"/>
          <w:lang w:val="vi-VN"/>
        </w:rPr>
        <w:t xml:space="preserve"> và tối thiểu 2% nguồn thu học phí đối với trường tư thục.</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5. </w:t>
      </w:r>
      <w:r w:rsidRPr="00AD2DAB">
        <w:rPr>
          <w:rFonts w:eastAsia="Times New Roman"/>
          <w:color w:val="000000"/>
          <w:sz w:val="26"/>
          <w:szCs w:val="26"/>
          <w:lang w:val="vi-VN"/>
        </w:rPr>
        <w:t>Trình tự xét, cấp học bổng đối với đối tượng quy định tại điểm a và điểm b khoản 1 Điều này:</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a) </w:t>
      </w:r>
      <w:r w:rsidRPr="00AD2DAB">
        <w:rPr>
          <w:rFonts w:eastAsia="Times New Roman"/>
          <w:color w:val="000000"/>
          <w:sz w:val="26"/>
          <w:szCs w:val="26"/>
          <w:lang w:val="vi-VN"/>
        </w:rPr>
        <w:t>Đối với trường chuyên và trường năng khiếu: Hiệu trưởng xác định số suất học bổng cho từng lớp học và căn cứ vào học bổng của năm để cấp cho học sinh theo thứ tự ưu tiên từ giải quốc tế, khu vực quốc tế, quốc gia đến điểm môn chuyên (đối với các trường chuyên) hoặc kết quả học tập (đối với các trường năng khiếu);</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b) </w:t>
      </w:r>
      <w:r w:rsidRPr="00AD2DAB">
        <w:rPr>
          <w:rFonts w:eastAsia="Times New Roman"/>
          <w:color w:val="000000"/>
          <w:sz w:val="26"/>
          <w:szCs w:val="26"/>
          <w:lang w:val="vi-VN"/>
        </w:rPr>
        <w:t>Đối với khối trung học phổ thông chuyên trong cơ sở giáo dục đại học: Hiệu trưởng xác định số suất học bổng và mức học bổng cho từng khối, lớp học căn cứ vào học bổng của năm để xét, cấp cho học sinh theo thứ tự ưu tiên từ giải quốc tế, khu vực quốc tế, quốc gia đến điểm môn chuyên;</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c) </w:t>
      </w:r>
      <w:r w:rsidRPr="00AD2DAB">
        <w:rPr>
          <w:rFonts w:eastAsia="Times New Roman"/>
          <w:color w:val="000000"/>
          <w:sz w:val="26"/>
          <w:szCs w:val="26"/>
          <w:lang w:val="vi-VN"/>
        </w:rPr>
        <w:t>Học bổng được cấp theo từng học kỳ và cấp 09 tháng trong năm học.</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Ngoài học bổng khuyến khích học tập theo quy định tại Nghị định này, Chủ tịch </w:t>
      </w:r>
      <w:r w:rsidRPr="00AD2DAB">
        <w:rPr>
          <w:rFonts w:eastAsia="Times New Roman"/>
          <w:color w:val="000000"/>
          <w:sz w:val="26"/>
          <w:szCs w:val="26"/>
        </w:rPr>
        <w:t>Ủ</w:t>
      </w:r>
      <w:r w:rsidRPr="00AD2DAB">
        <w:rPr>
          <w:rFonts w:eastAsia="Times New Roman"/>
          <w:color w:val="000000"/>
          <w:sz w:val="26"/>
          <w:szCs w:val="26"/>
          <w:lang w:val="vi-VN"/>
        </w:rPr>
        <w:t>y ban nhân dân cấp tỉnh có thể có các chế độ, chính sách khác đối với học sinh trường chuyên, trường năng khiếu thuộc địa phương hoặc do địa phương quản lý.</w:t>
      </w:r>
    </w:p>
    <w:p w:rsidR="00AD2DAB" w:rsidRPr="00AD2DAB" w:rsidRDefault="00AD2DAB" w:rsidP="00AD2DAB">
      <w:pPr>
        <w:shd w:val="clear" w:color="auto" w:fill="FFFFFF"/>
        <w:spacing w:before="120" w:after="120" w:line="234" w:lineRule="atLeast"/>
        <w:rPr>
          <w:rFonts w:eastAsia="Times New Roman"/>
          <w:color w:val="000000"/>
          <w:sz w:val="26"/>
          <w:szCs w:val="26"/>
          <w:highlight w:val="yellow"/>
        </w:rPr>
      </w:pPr>
      <w:r w:rsidRPr="00AD2DAB">
        <w:rPr>
          <w:rFonts w:eastAsia="Times New Roman"/>
          <w:color w:val="000000"/>
          <w:sz w:val="26"/>
          <w:szCs w:val="26"/>
          <w:highlight w:val="yellow"/>
        </w:rPr>
        <w:t>6. </w:t>
      </w:r>
      <w:r w:rsidRPr="00AD2DAB">
        <w:rPr>
          <w:rFonts w:eastAsia="Times New Roman"/>
          <w:color w:val="000000"/>
          <w:sz w:val="26"/>
          <w:szCs w:val="26"/>
          <w:highlight w:val="yellow"/>
          <w:lang w:val="vi-VN"/>
        </w:rPr>
        <w:t>Trình tự xét, cấp học bổng đối với đối tượng quy định tại điểm c khoản 1 Điều này:</w:t>
      </w:r>
    </w:p>
    <w:p w:rsidR="00AD2DAB" w:rsidRPr="00AD2DAB" w:rsidRDefault="00AD2DAB" w:rsidP="00AD2DAB">
      <w:pPr>
        <w:shd w:val="clear" w:color="auto" w:fill="FFFFFF"/>
        <w:spacing w:before="120" w:after="120" w:line="234" w:lineRule="atLeast"/>
        <w:rPr>
          <w:rFonts w:eastAsia="Times New Roman"/>
          <w:color w:val="000000"/>
          <w:sz w:val="26"/>
          <w:szCs w:val="26"/>
          <w:highlight w:val="yellow"/>
        </w:rPr>
      </w:pPr>
      <w:r w:rsidRPr="00AD2DAB">
        <w:rPr>
          <w:rFonts w:eastAsia="Times New Roman"/>
          <w:color w:val="000000"/>
          <w:sz w:val="26"/>
          <w:szCs w:val="26"/>
          <w:highlight w:val="yellow"/>
        </w:rPr>
        <w:t>a) </w:t>
      </w:r>
      <w:r w:rsidRPr="00AD2DAB">
        <w:rPr>
          <w:rFonts w:eastAsia="Times New Roman"/>
          <w:color w:val="000000"/>
          <w:sz w:val="26"/>
          <w:szCs w:val="26"/>
          <w:highlight w:val="yellow"/>
          <w:lang w:val="vi-VN"/>
        </w:rPr>
        <w:t xml:space="preserve">Hiệu trưởng căn cứ vào nguồn học bổng khuyến khích học tập xác định số lượng suất học bổng cho từng khóa học, ngành học. Trong trường hợp số lượng học sinh, sinh viên </w:t>
      </w:r>
      <w:r w:rsidRPr="00AD2DAB">
        <w:rPr>
          <w:rFonts w:eastAsia="Times New Roman"/>
          <w:color w:val="000000"/>
          <w:sz w:val="26"/>
          <w:szCs w:val="26"/>
          <w:highlight w:val="yellow"/>
          <w:lang w:val="vi-VN"/>
        </w:rPr>
        <w:lastRenderedPageBreak/>
        <w:t>thuộc diện được xét, cấp học bổng nhiều hơn số suất học bổng thì việc xét, cấp học bổng do hiệu trưởng quyết định;</w:t>
      </w:r>
    </w:p>
    <w:p w:rsidR="00AD2DAB" w:rsidRPr="00AD2DAB" w:rsidRDefault="00AD2DAB" w:rsidP="00AD2DAB">
      <w:pPr>
        <w:shd w:val="clear" w:color="auto" w:fill="FFFFFF"/>
        <w:spacing w:before="120" w:after="120" w:line="234" w:lineRule="atLeast"/>
        <w:rPr>
          <w:rFonts w:eastAsia="Times New Roman"/>
          <w:color w:val="000000"/>
          <w:sz w:val="26"/>
          <w:szCs w:val="26"/>
          <w:highlight w:val="yellow"/>
        </w:rPr>
      </w:pPr>
      <w:r w:rsidRPr="00AD2DAB">
        <w:rPr>
          <w:rFonts w:eastAsia="Times New Roman"/>
          <w:color w:val="000000"/>
          <w:sz w:val="26"/>
          <w:szCs w:val="26"/>
          <w:highlight w:val="yellow"/>
        </w:rPr>
        <w:t>b) </w:t>
      </w:r>
      <w:r w:rsidRPr="00AD2DAB">
        <w:rPr>
          <w:rFonts w:eastAsia="Times New Roman"/>
          <w:color w:val="000000"/>
          <w:sz w:val="26"/>
          <w:szCs w:val="26"/>
          <w:highlight w:val="yellow"/>
          <w:lang w:val="vi-VN"/>
        </w:rPr>
        <w:t>Hiệu trưởng căn cứ vào kết quả học tập và rèn luyện của học sinh, sinh viên thực hiện xét, cấp học bổng theo thứ tự từ loại xuất sắc trở xuống đến hết số suất học bổng đã được xác định;</w:t>
      </w:r>
    </w:p>
    <w:p w:rsidR="00AD2DAB" w:rsidRPr="00AD2DAB" w:rsidRDefault="00AD2DAB" w:rsidP="00AD2DAB">
      <w:pPr>
        <w:shd w:val="clear" w:color="auto" w:fill="FFFFFF"/>
        <w:spacing w:before="120" w:after="120" w:line="234" w:lineRule="atLeast"/>
        <w:rPr>
          <w:rFonts w:eastAsia="Times New Roman"/>
          <w:color w:val="000000"/>
          <w:sz w:val="26"/>
          <w:szCs w:val="26"/>
          <w:highlight w:val="yellow"/>
        </w:rPr>
      </w:pPr>
      <w:r w:rsidRPr="00AD2DAB">
        <w:rPr>
          <w:rFonts w:eastAsia="Times New Roman"/>
          <w:color w:val="000000"/>
          <w:sz w:val="26"/>
          <w:szCs w:val="26"/>
          <w:highlight w:val="yellow"/>
        </w:rPr>
        <w:t>c) </w:t>
      </w:r>
      <w:r w:rsidRPr="00AD2DAB">
        <w:rPr>
          <w:rFonts w:eastAsia="Times New Roman"/>
          <w:color w:val="000000"/>
          <w:sz w:val="26"/>
          <w:szCs w:val="26"/>
          <w:highlight w:val="yellow"/>
          <w:lang w:val="vi-VN"/>
        </w:rPr>
        <w:t>Học bổng được cấp theo từng học kỳ và cấp 10 tháng trong năm học. Đối với học sinh, sinh viên đào tạo theo phương thức tích lũy mô đun hoặc tín chỉ thì được xét, cấp học bổng theo số lượng mô đun hoặc tín chỉ, trong đó 15 mô đun hoặc tín chỉ được tính tương đương với một học kỳ.</w:t>
      </w:r>
    </w:p>
    <w:p w:rsidR="00AD2DAB" w:rsidRPr="00AD2DAB" w:rsidRDefault="00AD2DAB" w:rsidP="00AD2DAB">
      <w:pPr>
        <w:shd w:val="clear" w:color="auto" w:fill="FFFFFF"/>
        <w:spacing w:before="120" w:after="120" w:line="234" w:lineRule="atLeast"/>
        <w:rPr>
          <w:rFonts w:eastAsia="Times New Roman"/>
          <w:color w:val="000000"/>
          <w:sz w:val="26"/>
          <w:szCs w:val="26"/>
          <w:highlight w:val="yellow"/>
        </w:rPr>
      </w:pPr>
      <w:r w:rsidRPr="00AD2DAB">
        <w:rPr>
          <w:rFonts w:eastAsia="Times New Roman"/>
          <w:color w:val="000000"/>
          <w:sz w:val="26"/>
          <w:szCs w:val="26"/>
          <w:highlight w:val="yellow"/>
          <w:lang w:val="vi-VN"/>
        </w:rPr>
        <w:t>Học sinh, sinh viên thuộc diện hưởng học bổng chính sách, trợ cấp xã hội, chính sách ưu đãi thì vẫn được xét, cấp học bổng khuyến khích học tập theo quy định tại Nghị định này.</w:t>
      </w:r>
    </w:p>
    <w:p w:rsidR="00AD2DAB" w:rsidRPr="00890EE1" w:rsidRDefault="00AD2DAB" w:rsidP="00AD2DAB">
      <w:pPr>
        <w:shd w:val="clear" w:color="auto" w:fill="FFFFFF"/>
        <w:spacing w:before="120" w:after="120" w:line="234" w:lineRule="atLeast"/>
        <w:rPr>
          <w:rFonts w:eastAsia="Times New Roman"/>
          <w:color w:val="000000"/>
          <w:sz w:val="26"/>
          <w:szCs w:val="26"/>
        </w:rPr>
      </w:pPr>
      <w:r w:rsidRPr="00A60408">
        <w:rPr>
          <w:rFonts w:eastAsia="Times New Roman"/>
          <w:b/>
          <w:bCs/>
          <w:color w:val="000000"/>
          <w:sz w:val="26"/>
          <w:szCs w:val="26"/>
          <w:highlight w:val="yellow"/>
          <w:lang w:val="vi-VN"/>
        </w:rPr>
        <w:t>Điều 9. Học bổng chính sách</w:t>
      </w:r>
      <w:bookmarkStart w:id="0" w:name="_GoBack"/>
      <w:bookmarkEnd w:id="0"/>
    </w:p>
    <w:p w:rsidR="00AD2DAB" w:rsidRPr="00890EE1" w:rsidRDefault="00AD2DAB" w:rsidP="00AD2DAB">
      <w:pPr>
        <w:shd w:val="clear" w:color="auto" w:fill="FFFFFF"/>
        <w:spacing w:before="120" w:after="120" w:line="234" w:lineRule="atLeast"/>
        <w:rPr>
          <w:rFonts w:eastAsia="Times New Roman"/>
          <w:color w:val="000000"/>
          <w:sz w:val="26"/>
          <w:szCs w:val="26"/>
        </w:rPr>
      </w:pPr>
      <w:r w:rsidRPr="00A60408">
        <w:rPr>
          <w:rFonts w:eastAsia="Times New Roman"/>
          <w:color w:val="000000"/>
          <w:sz w:val="26"/>
          <w:szCs w:val="26"/>
          <w:highlight w:val="yellow"/>
        </w:rPr>
        <w:t>1. </w:t>
      </w:r>
      <w:r w:rsidRPr="00A60408">
        <w:rPr>
          <w:rFonts w:eastAsia="Times New Roman"/>
          <w:color w:val="000000"/>
          <w:sz w:val="26"/>
          <w:szCs w:val="26"/>
          <w:highlight w:val="yellow"/>
          <w:lang w:val="vi-VN"/>
        </w:rPr>
        <w:t>Đối tượng: Sinh viên theo chế độ cử tuyển; học sinh trường dự bị đại học, trường phổ thông dân tộc nội trú;</w:t>
      </w:r>
      <w:r w:rsidRPr="00890EE1">
        <w:rPr>
          <w:rFonts w:eastAsia="Times New Roman"/>
          <w:color w:val="000000"/>
          <w:sz w:val="26"/>
          <w:szCs w:val="26"/>
          <w:lang w:val="vi-VN"/>
        </w:rPr>
        <w:t xml:space="preserve"> học viên cơ sở giáo dục nghề nghiệp dành cho thương binh, người khuyết tật.</w:t>
      </w:r>
    </w:p>
    <w:p w:rsidR="00AD2DAB" w:rsidRPr="00890EE1" w:rsidRDefault="00AD2DAB" w:rsidP="00AD2DAB">
      <w:pPr>
        <w:shd w:val="clear" w:color="auto" w:fill="FFFFFF"/>
        <w:spacing w:before="120" w:after="120" w:line="234" w:lineRule="atLeast"/>
        <w:rPr>
          <w:rFonts w:eastAsia="Times New Roman"/>
          <w:color w:val="000000"/>
          <w:sz w:val="26"/>
          <w:szCs w:val="26"/>
        </w:rPr>
      </w:pPr>
      <w:r w:rsidRPr="00890EE1">
        <w:rPr>
          <w:rFonts w:eastAsia="Times New Roman"/>
          <w:color w:val="000000"/>
          <w:sz w:val="26"/>
          <w:szCs w:val="26"/>
        </w:rPr>
        <w:t>2. </w:t>
      </w:r>
      <w:r w:rsidRPr="00890EE1">
        <w:rPr>
          <w:rFonts w:eastAsia="Times New Roman"/>
          <w:color w:val="000000"/>
          <w:sz w:val="26"/>
          <w:szCs w:val="26"/>
          <w:lang w:val="vi-VN"/>
        </w:rPr>
        <w:t>Mức hưởng:</w:t>
      </w:r>
    </w:p>
    <w:p w:rsidR="00AD2DAB" w:rsidRPr="00890EE1" w:rsidRDefault="00AD2DAB" w:rsidP="00AD2DAB">
      <w:pPr>
        <w:shd w:val="clear" w:color="auto" w:fill="FFFFFF"/>
        <w:spacing w:before="120" w:after="120" w:line="234" w:lineRule="atLeast"/>
        <w:rPr>
          <w:rFonts w:eastAsia="Times New Roman"/>
          <w:color w:val="000000"/>
          <w:sz w:val="26"/>
          <w:szCs w:val="26"/>
        </w:rPr>
      </w:pPr>
      <w:r w:rsidRPr="00890EE1">
        <w:rPr>
          <w:rFonts w:eastAsia="Times New Roman"/>
          <w:color w:val="000000"/>
          <w:sz w:val="26"/>
          <w:szCs w:val="26"/>
        </w:rPr>
        <w:t>a) </w:t>
      </w:r>
      <w:r w:rsidRPr="00890EE1">
        <w:rPr>
          <w:rFonts w:eastAsia="Times New Roman"/>
          <w:color w:val="000000"/>
          <w:sz w:val="26"/>
          <w:szCs w:val="26"/>
          <w:lang w:val="vi-VN"/>
        </w:rPr>
        <w:t>Đối với sinh viên theo chế độ cử tuyển; học sinh trường dự bị đại học, trường phổ thông dân tộc nội trú; học viên cơ sở giáo dục nghề nghiệp dành cho thương binh, người khuyết tật: Mức học bổng bằng 80% mức lương cơ sở/tháng;</w:t>
      </w:r>
    </w:p>
    <w:p w:rsidR="00AD2DAB" w:rsidRPr="00890EE1" w:rsidRDefault="00AD2DAB" w:rsidP="00AD2DAB">
      <w:pPr>
        <w:shd w:val="clear" w:color="auto" w:fill="FFFFFF"/>
        <w:spacing w:before="120" w:after="120" w:line="234" w:lineRule="atLeast"/>
        <w:rPr>
          <w:rFonts w:eastAsia="Times New Roman"/>
          <w:color w:val="000000"/>
          <w:sz w:val="26"/>
          <w:szCs w:val="26"/>
        </w:rPr>
      </w:pPr>
      <w:r w:rsidRPr="00890EE1">
        <w:rPr>
          <w:rFonts w:eastAsia="Times New Roman"/>
          <w:color w:val="000000"/>
          <w:sz w:val="26"/>
          <w:szCs w:val="26"/>
        </w:rPr>
        <w:t>b) </w:t>
      </w:r>
      <w:r w:rsidRPr="00890EE1">
        <w:rPr>
          <w:rFonts w:eastAsia="Times New Roman"/>
          <w:color w:val="000000"/>
          <w:sz w:val="26"/>
          <w:szCs w:val="26"/>
          <w:lang w:val="vi-VN"/>
        </w:rPr>
        <w:t>Đối với học viên là thương binh thuộc hộ nghèo học trong các cơ sở giáo dục nghề nghiệp dành cho thương binh, người khuyết tật: Mức học bổng bằng 100% mức lương cơ sở/tháng.</w:t>
      </w:r>
    </w:p>
    <w:p w:rsidR="00AD2DAB" w:rsidRPr="00890EE1" w:rsidRDefault="00AD2DAB" w:rsidP="00AD2DAB">
      <w:pPr>
        <w:shd w:val="clear" w:color="auto" w:fill="FFFFFF"/>
        <w:spacing w:before="120" w:after="120" w:line="234" w:lineRule="atLeast"/>
        <w:rPr>
          <w:rFonts w:eastAsia="Times New Roman"/>
          <w:color w:val="000000"/>
          <w:sz w:val="26"/>
          <w:szCs w:val="26"/>
        </w:rPr>
      </w:pPr>
      <w:r w:rsidRPr="00890EE1">
        <w:rPr>
          <w:rFonts w:eastAsia="Times New Roman"/>
          <w:color w:val="000000"/>
          <w:sz w:val="26"/>
          <w:szCs w:val="26"/>
        </w:rPr>
        <w:t>3. </w:t>
      </w:r>
      <w:r w:rsidRPr="00890EE1">
        <w:rPr>
          <w:rFonts w:eastAsia="Times New Roman"/>
          <w:color w:val="000000"/>
          <w:sz w:val="26"/>
          <w:szCs w:val="26"/>
          <w:lang w:val="vi-VN"/>
        </w:rPr>
        <w:t>Nguyên tắc hưởng:</w:t>
      </w:r>
    </w:p>
    <w:p w:rsidR="00AD2DAB" w:rsidRPr="00890EE1" w:rsidRDefault="00AD2DAB" w:rsidP="00AD2DAB">
      <w:pPr>
        <w:shd w:val="clear" w:color="auto" w:fill="FFFFFF"/>
        <w:spacing w:before="120" w:after="120" w:line="234" w:lineRule="atLeast"/>
        <w:rPr>
          <w:rFonts w:eastAsia="Times New Roman"/>
          <w:color w:val="000000"/>
          <w:sz w:val="26"/>
          <w:szCs w:val="26"/>
        </w:rPr>
      </w:pPr>
      <w:r w:rsidRPr="00890EE1">
        <w:rPr>
          <w:rFonts w:eastAsia="Times New Roman"/>
          <w:color w:val="000000"/>
          <w:sz w:val="26"/>
          <w:szCs w:val="26"/>
        </w:rPr>
        <w:t>a) </w:t>
      </w:r>
      <w:r w:rsidRPr="00890EE1">
        <w:rPr>
          <w:rFonts w:eastAsia="Times New Roman"/>
          <w:color w:val="000000"/>
          <w:sz w:val="26"/>
          <w:szCs w:val="26"/>
          <w:lang w:val="vi-VN"/>
        </w:rPr>
        <w:t>Đối tượng quy định tại khoản 1 Điều này chỉ được hưởng chế độ học bổng chính sách một lần trong cả quá trình học;</w:t>
      </w:r>
    </w:p>
    <w:p w:rsidR="00AD2DAB" w:rsidRPr="00890EE1" w:rsidRDefault="00AD2DAB" w:rsidP="00AD2DAB">
      <w:pPr>
        <w:shd w:val="clear" w:color="auto" w:fill="FFFFFF"/>
        <w:spacing w:before="120" w:after="120" w:line="234" w:lineRule="atLeast"/>
        <w:rPr>
          <w:rFonts w:eastAsia="Times New Roman"/>
          <w:color w:val="000000"/>
          <w:sz w:val="26"/>
          <w:szCs w:val="26"/>
        </w:rPr>
      </w:pPr>
      <w:r w:rsidRPr="00890EE1">
        <w:rPr>
          <w:rFonts w:eastAsia="Times New Roman"/>
          <w:color w:val="000000"/>
          <w:sz w:val="26"/>
          <w:szCs w:val="26"/>
        </w:rPr>
        <w:t>b) </w:t>
      </w:r>
      <w:r w:rsidRPr="00890EE1">
        <w:rPr>
          <w:rFonts w:eastAsia="Times New Roman"/>
          <w:color w:val="000000"/>
          <w:sz w:val="26"/>
          <w:szCs w:val="26"/>
          <w:lang w:val="vi-VN"/>
        </w:rPr>
        <w:t>Trường hợp học sinh, sinh viên, học viên thuộc </w:t>
      </w:r>
      <w:r w:rsidRPr="00890EE1">
        <w:rPr>
          <w:rFonts w:eastAsia="Times New Roman"/>
          <w:color w:val="000000"/>
          <w:sz w:val="26"/>
          <w:szCs w:val="26"/>
        </w:rPr>
        <w:t>đối </w:t>
      </w:r>
      <w:r w:rsidRPr="00890EE1">
        <w:rPr>
          <w:rFonts w:eastAsia="Times New Roman"/>
          <w:color w:val="000000"/>
          <w:sz w:val="26"/>
          <w:szCs w:val="26"/>
          <w:lang w:val="vi-VN"/>
        </w:rPr>
        <w:t>tượng được hưởng nhiều chính sách cùng lúc thì chỉ được hưởng một chính </w:t>
      </w:r>
      <w:r w:rsidRPr="00890EE1">
        <w:rPr>
          <w:rFonts w:eastAsia="Times New Roman"/>
          <w:color w:val="000000"/>
          <w:sz w:val="26"/>
          <w:szCs w:val="26"/>
        </w:rPr>
        <w:t>sách cao </w:t>
      </w:r>
      <w:r w:rsidRPr="00890EE1">
        <w:rPr>
          <w:rFonts w:eastAsia="Times New Roman"/>
          <w:color w:val="000000"/>
          <w:sz w:val="26"/>
          <w:szCs w:val="26"/>
          <w:lang w:val="vi-VN"/>
        </w:rPr>
        <w:t>nhất hoặc học đồng thời nhiều ngành, nhiều cơ sở giáo dục thì chỉ được hưởng chính sách ở một ngành tại một cơ sở giáo dục;</w:t>
      </w:r>
    </w:p>
    <w:p w:rsidR="00AD2DAB" w:rsidRPr="00890EE1" w:rsidRDefault="00AD2DAB" w:rsidP="00AD2DAB">
      <w:pPr>
        <w:shd w:val="clear" w:color="auto" w:fill="FFFFFF"/>
        <w:spacing w:before="120" w:after="120" w:line="234" w:lineRule="atLeast"/>
        <w:rPr>
          <w:rFonts w:eastAsia="Times New Roman"/>
          <w:color w:val="000000"/>
          <w:sz w:val="26"/>
          <w:szCs w:val="26"/>
        </w:rPr>
      </w:pPr>
      <w:r w:rsidRPr="00890EE1">
        <w:rPr>
          <w:rFonts w:eastAsia="Times New Roman"/>
          <w:color w:val="000000"/>
          <w:sz w:val="26"/>
          <w:szCs w:val="26"/>
        </w:rPr>
        <w:t>c) </w:t>
      </w:r>
      <w:r w:rsidRPr="00890EE1">
        <w:rPr>
          <w:rFonts w:eastAsia="Times New Roman"/>
          <w:color w:val="000000"/>
          <w:sz w:val="26"/>
          <w:szCs w:val="26"/>
          <w:lang w:val="vi-VN"/>
        </w:rPr>
        <w:t>Học sinh, sinh viên, học viên là đối tượng được hưởng chính sách theo quy định tại Điều này nhưng thuộc đối tượng được hưởng chính sách trợ cấp ưu đãi, trợ cấp xã hội, học bổng khuyến khích học tập thì vẫn được hưởng các chính sách này theo quy định;</w:t>
      </w:r>
    </w:p>
    <w:p w:rsidR="00AD2DAB" w:rsidRPr="00890EE1" w:rsidRDefault="00AD2DAB" w:rsidP="00AD2DAB">
      <w:pPr>
        <w:shd w:val="clear" w:color="auto" w:fill="FFFFFF"/>
        <w:spacing w:before="120" w:after="120" w:line="234" w:lineRule="atLeast"/>
        <w:rPr>
          <w:rFonts w:eastAsia="Times New Roman"/>
          <w:color w:val="000000"/>
          <w:sz w:val="26"/>
          <w:szCs w:val="26"/>
        </w:rPr>
      </w:pPr>
      <w:r w:rsidRPr="00890EE1">
        <w:rPr>
          <w:rFonts w:eastAsia="Times New Roman"/>
          <w:color w:val="000000"/>
          <w:sz w:val="26"/>
          <w:szCs w:val="26"/>
        </w:rPr>
        <w:t>d) </w:t>
      </w:r>
      <w:r w:rsidRPr="00890EE1">
        <w:rPr>
          <w:rFonts w:eastAsia="Times New Roman"/>
          <w:color w:val="000000"/>
          <w:sz w:val="26"/>
          <w:szCs w:val="26"/>
          <w:lang w:val="vi-VN"/>
        </w:rPr>
        <w:t>Học sinh, sinh viên, học viên bị kỷ luật buộc thôi học hoặc bị đình chỉ học tập thì không được hưởng các chính sách quy định tại Điều này kể từ thời điểm quyết định kỷ luật có hiệu lực hoặc trong thời gian bị đình chỉ;</w:t>
      </w:r>
    </w:p>
    <w:p w:rsidR="00AD2DAB" w:rsidRPr="00890EE1" w:rsidRDefault="00AD2DAB" w:rsidP="00AD2DAB">
      <w:pPr>
        <w:shd w:val="clear" w:color="auto" w:fill="FFFFFF"/>
        <w:spacing w:before="120" w:after="120" w:line="234" w:lineRule="atLeast"/>
        <w:rPr>
          <w:rFonts w:eastAsia="Times New Roman"/>
          <w:color w:val="000000"/>
          <w:sz w:val="26"/>
          <w:szCs w:val="26"/>
        </w:rPr>
      </w:pPr>
      <w:r w:rsidRPr="00890EE1">
        <w:rPr>
          <w:rFonts w:eastAsia="Times New Roman"/>
          <w:color w:val="000000"/>
          <w:sz w:val="26"/>
          <w:szCs w:val="26"/>
          <w:lang w:val="vi-VN"/>
        </w:rPr>
        <w:t>đ) Học bổng chính sách được cấp đủ 12 tháng/năm, số năm học được hưởng chính sách không được vượt quá số năm hoặc số học kỳ tối đa để hoàn thành chương trình đào tạo tương ứng với các ngành học theo quy định. Riêng đối với năm học cuối được hưởng theo số tháng thực học.</w:t>
      </w:r>
    </w:p>
    <w:p w:rsidR="00AD2DAB" w:rsidRPr="00890EE1" w:rsidRDefault="00AD2DAB" w:rsidP="00AD2DAB">
      <w:pPr>
        <w:shd w:val="clear" w:color="auto" w:fill="FFFFFF"/>
        <w:spacing w:before="120" w:after="120" w:line="234" w:lineRule="atLeast"/>
        <w:rPr>
          <w:rFonts w:eastAsia="Times New Roman"/>
          <w:color w:val="000000"/>
          <w:sz w:val="26"/>
          <w:szCs w:val="26"/>
        </w:rPr>
      </w:pPr>
      <w:r w:rsidRPr="00890EE1">
        <w:rPr>
          <w:rFonts w:eastAsia="Times New Roman"/>
          <w:color w:val="000000"/>
          <w:sz w:val="26"/>
          <w:szCs w:val="26"/>
          <w:lang w:val="vi-VN"/>
        </w:rPr>
        <w:t>Đối với học sinh trường phổ thông dân tộc nội trú, trường dự bị đại học nếu bị lưu ban thì năm học lưu ban đầu tiên vẫn được hưởng học bổng chính sách theo quy định.</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890EE1">
        <w:rPr>
          <w:rFonts w:eastAsia="Times New Roman"/>
          <w:color w:val="000000"/>
          <w:sz w:val="26"/>
          <w:szCs w:val="26"/>
        </w:rPr>
        <w:lastRenderedPageBreak/>
        <w:t>e) </w:t>
      </w:r>
      <w:r w:rsidRPr="00890EE1">
        <w:rPr>
          <w:rFonts w:eastAsia="Times New Roman"/>
          <w:color w:val="000000"/>
          <w:sz w:val="26"/>
          <w:szCs w:val="26"/>
          <w:lang w:val="vi-VN"/>
        </w:rPr>
        <w:t>Đối với các chương trình đào tạo theo phương thức tích lũy mô đun hoặc tín chỉ thì học bổng chính sách được cấp theo thời gian đào tạo quy đổi nhưng không vượt quá thời gian đào tạo của ngành, nghề và trình độ đào tạo tương đương đối với chương trình đào tạo theo niên chế, được tính bằng công thức dưới đây: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88"/>
        <w:gridCol w:w="580"/>
        <w:gridCol w:w="2540"/>
        <w:gridCol w:w="480"/>
        <w:gridCol w:w="2868"/>
      </w:tblGrid>
      <w:tr w:rsidR="00AD2DAB" w:rsidRPr="00AD2DAB" w:rsidTr="00AD2DAB">
        <w:trPr>
          <w:tblCellSpacing w:w="0" w:type="dxa"/>
        </w:trPr>
        <w:tc>
          <w:tcPr>
            <w:tcW w:w="2388" w:type="dxa"/>
            <w:vMerge w:val="restart"/>
            <w:shd w:val="clear" w:color="auto" w:fill="FFFFFF"/>
            <w:tcMar>
              <w:top w:w="0" w:type="dxa"/>
              <w:left w:w="108" w:type="dxa"/>
              <w:bottom w:w="0" w:type="dxa"/>
              <w:right w:w="108" w:type="dxa"/>
            </w:tcMar>
            <w:vAlign w:val="center"/>
            <w:hideMark/>
          </w:tcPr>
          <w:p w:rsidR="00AD2DAB" w:rsidRPr="00AD2DAB" w:rsidRDefault="00AD2DAB" w:rsidP="00AD2DAB">
            <w:pPr>
              <w:spacing w:before="120" w:after="120" w:line="234" w:lineRule="atLeast"/>
              <w:rPr>
                <w:rFonts w:eastAsia="Times New Roman"/>
                <w:color w:val="000000"/>
                <w:sz w:val="26"/>
                <w:szCs w:val="26"/>
              </w:rPr>
            </w:pPr>
            <w:r w:rsidRPr="00AD2DAB">
              <w:rPr>
                <w:rFonts w:eastAsia="Times New Roman"/>
                <w:color w:val="000000"/>
                <w:sz w:val="26"/>
                <w:szCs w:val="26"/>
                <w:lang w:val="vi-VN"/>
              </w:rPr>
              <w:t>Học bổng chính sách theo mô đun, tín chỉ trong khoảng thời gian xác định để tính học bổng chính sách</w:t>
            </w:r>
          </w:p>
        </w:tc>
        <w:tc>
          <w:tcPr>
            <w:tcW w:w="580" w:type="dxa"/>
            <w:vMerge w:val="restart"/>
            <w:shd w:val="clear" w:color="auto" w:fill="FFFFFF"/>
            <w:tcMar>
              <w:top w:w="0" w:type="dxa"/>
              <w:left w:w="108" w:type="dxa"/>
              <w:bottom w:w="0" w:type="dxa"/>
              <w:right w:w="108" w:type="dxa"/>
            </w:tcMar>
            <w:vAlign w:val="center"/>
            <w:hideMark/>
          </w:tcPr>
          <w:p w:rsidR="00AD2DAB" w:rsidRPr="00AD2DAB" w:rsidRDefault="00AD2DAB" w:rsidP="00AD2DAB">
            <w:pPr>
              <w:spacing w:before="120" w:after="120" w:line="234" w:lineRule="atLeast"/>
              <w:rPr>
                <w:rFonts w:eastAsia="Times New Roman"/>
                <w:color w:val="000000"/>
                <w:sz w:val="26"/>
                <w:szCs w:val="26"/>
              </w:rPr>
            </w:pPr>
            <w:r w:rsidRPr="00AD2DAB">
              <w:rPr>
                <w:rFonts w:eastAsia="Times New Roman"/>
                <w:color w:val="000000"/>
                <w:sz w:val="26"/>
                <w:szCs w:val="26"/>
              </w:rPr>
              <w:t>=</w:t>
            </w:r>
          </w:p>
        </w:tc>
        <w:tc>
          <w:tcPr>
            <w:tcW w:w="2540"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AD2DAB" w:rsidRPr="00AD2DAB" w:rsidRDefault="00AD2DAB" w:rsidP="00AD2DAB">
            <w:pPr>
              <w:spacing w:before="120" w:after="120" w:line="234" w:lineRule="atLeast"/>
              <w:rPr>
                <w:rFonts w:eastAsia="Times New Roman"/>
                <w:color w:val="000000"/>
                <w:sz w:val="26"/>
                <w:szCs w:val="26"/>
              </w:rPr>
            </w:pPr>
            <w:r w:rsidRPr="00AD2DAB">
              <w:rPr>
                <w:rFonts w:eastAsia="Times New Roman"/>
                <w:color w:val="000000"/>
                <w:sz w:val="26"/>
                <w:szCs w:val="26"/>
                <w:lang w:val="vi-VN"/>
              </w:rPr>
              <w:t>Tổng số học bổng chính sách của chương trình đào tạo theo niên chế</w:t>
            </w:r>
          </w:p>
        </w:tc>
        <w:tc>
          <w:tcPr>
            <w:tcW w:w="480"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AD2DAB" w:rsidRPr="00AD2DAB" w:rsidRDefault="00AD2DAB" w:rsidP="00AD2DAB">
            <w:pPr>
              <w:spacing w:before="120" w:after="120" w:line="234" w:lineRule="atLeast"/>
              <w:rPr>
                <w:rFonts w:eastAsia="Times New Roman"/>
                <w:color w:val="000000"/>
                <w:sz w:val="26"/>
                <w:szCs w:val="26"/>
              </w:rPr>
            </w:pPr>
            <w:r w:rsidRPr="00AD2DAB">
              <w:rPr>
                <w:rFonts w:eastAsia="Times New Roman"/>
                <w:color w:val="000000"/>
                <w:sz w:val="26"/>
                <w:szCs w:val="26"/>
              </w:rPr>
              <w:t>x</w:t>
            </w:r>
          </w:p>
        </w:tc>
        <w:tc>
          <w:tcPr>
            <w:tcW w:w="2868"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AD2DAB" w:rsidRPr="00AD2DAB" w:rsidRDefault="00AD2DAB" w:rsidP="00AD2DAB">
            <w:pPr>
              <w:spacing w:before="120" w:after="120" w:line="234" w:lineRule="atLeast"/>
              <w:rPr>
                <w:rFonts w:eastAsia="Times New Roman"/>
                <w:color w:val="000000"/>
                <w:sz w:val="26"/>
                <w:szCs w:val="26"/>
              </w:rPr>
            </w:pPr>
            <w:r w:rsidRPr="00AD2DAB">
              <w:rPr>
                <w:rFonts w:eastAsia="Times New Roman"/>
                <w:color w:val="000000"/>
                <w:sz w:val="26"/>
                <w:szCs w:val="26"/>
                <w:lang w:val="vi-VN"/>
              </w:rPr>
              <w:t>Số mô đun, tín chỉ học trong khoảng thời gian xác định để tính học bổng chính sách</w:t>
            </w:r>
          </w:p>
        </w:tc>
      </w:tr>
      <w:tr w:rsidR="00AD2DAB" w:rsidRPr="00AD2DAB" w:rsidTr="00AD2DAB">
        <w:trPr>
          <w:tblCellSpacing w:w="0" w:type="dxa"/>
        </w:trPr>
        <w:tc>
          <w:tcPr>
            <w:tcW w:w="0" w:type="auto"/>
            <w:vMerge/>
            <w:shd w:val="clear" w:color="auto" w:fill="FFFFFF"/>
            <w:vAlign w:val="center"/>
            <w:hideMark/>
          </w:tcPr>
          <w:p w:rsidR="00AD2DAB" w:rsidRPr="00AD2DAB" w:rsidRDefault="00AD2DAB" w:rsidP="00AD2DAB">
            <w:pPr>
              <w:rPr>
                <w:rFonts w:eastAsia="Times New Roman"/>
                <w:color w:val="000000"/>
                <w:sz w:val="26"/>
                <w:szCs w:val="26"/>
              </w:rPr>
            </w:pPr>
          </w:p>
        </w:tc>
        <w:tc>
          <w:tcPr>
            <w:tcW w:w="0" w:type="auto"/>
            <w:vMerge/>
            <w:shd w:val="clear" w:color="auto" w:fill="FFFFFF"/>
            <w:vAlign w:val="center"/>
            <w:hideMark/>
          </w:tcPr>
          <w:p w:rsidR="00AD2DAB" w:rsidRPr="00AD2DAB" w:rsidRDefault="00AD2DAB" w:rsidP="00AD2DAB">
            <w:pPr>
              <w:rPr>
                <w:rFonts w:eastAsia="Times New Roman"/>
                <w:color w:val="000000"/>
                <w:sz w:val="26"/>
                <w:szCs w:val="26"/>
              </w:rPr>
            </w:pPr>
          </w:p>
        </w:tc>
        <w:tc>
          <w:tcPr>
            <w:tcW w:w="5888" w:type="dxa"/>
            <w:gridSpan w:val="3"/>
            <w:shd w:val="clear" w:color="auto" w:fill="FFFFFF"/>
            <w:tcMar>
              <w:top w:w="0" w:type="dxa"/>
              <w:left w:w="108" w:type="dxa"/>
              <w:bottom w:w="0"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Tổng số mô đun, tín chỉ</w:t>
            </w:r>
          </w:p>
        </w:tc>
      </w:tr>
    </w:tbl>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Trong đó: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88"/>
        <w:gridCol w:w="539"/>
        <w:gridCol w:w="2581"/>
        <w:gridCol w:w="480"/>
        <w:gridCol w:w="2868"/>
      </w:tblGrid>
      <w:tr w:rsidR="00AD2DAB" w:rsidRPr="00AD2DAB" w:rsidTr="00AD2DAB">
        <w:trPr>
          <w:tblCellSpacing w:w="0" w:type="dxa"/>
        </w:trPr>
        <w:tc>
          <w:tcPr>
            <w:tcW w:w="2388" w:type="dxa"/>
            <w:shd w:val="clear" w:color="auto" w:fill="FFFFFF"/>
            <w:tcMar>
              <w:top w:w="0" w:type="dxa"/>
              <w:left w:w="108" w:type="dxa"/>
              <w:bottom w:w="0" w:type="dxa"/>
              <w:right w:w="108" w:type="dxa"/>
            </w:tcMar>
            <w:vAlign w:val="center"/>
            <w:hideMark/>
          </w:tcPr>
          <w:p w:rsidR="00AD2DAB" w:rsidRPr="00AD2DAB" w:rsidRDefault="00AD2DAB" w:rsidP="00AD2DAB">
            <w:pPr>
              <w:spacing w:before="120" w:after="120" w:line="234" w:lineRule="atLeast"/>
              <w:rPr>
                <w:rFonts w:eastAsia="Times New Roman"/>
                <w:color w:val="000000"/>
                <w:sz w:val="26"/>
                <w:szCs w:val="26"/>
              </w:rPr>
            </w:pPr>
            <w:r w:rsidRPr="00AD2DAB">
              <w:rPr>
                <w:rFonts w:eastAsia="Times New Roman"/>
                <w:color w:val="000000"/>
                <w:sz w:val="26"/>
                <w:szCs w:val="26"/>
                <w:lang w:val="vi-VN"/>
              </w:rPr>
              <w:t>Tổng số học bổng chính sách của chương trình đào tạo theo niên chế</w:t>
            </w:r>
          </w:p>
        </w:tc>
        <w:tc>
          <w:tcPr>
            <w:tcW w:w="539" w:type="dxa"/>
            <w:shd w:val="clear" w:color="auto" w:fill="FFFFFF"/>
            <w:tcMar>
              <w:top w:w="0" w:type="dxa"/>
              <w:left w:w="108" w:type="dxa"/>
              <w:bottom w:w="0" w:type="dxa"/>
              <w:right w:w="108" w:type="dxa"/>
            </w:tcMar>
            <w:vAlign w:val="center"/>
            <w:hideMark/>
          </w:tcPr>
          <w:p w:rsidR="00AD2DAB" w:rsidRPr="00AD2DAB" w:rsidRDefault="00AD2DAB" w:rsidP="00AD2DAB">
            <w:pPr>
              <w:spacing w:before="120" w:after="120" w:line="234" w:lineRule="atLeast"/>
              <w:rPr>
                <w:rFonts w:eastAsia="Times New Roman"/>
                <w:color w:val="000000"/>
                <w:sz w:val="26"/>
                <w:szCs w:val="26"/>
              </w:rPr>
            </w:pPr>
            <w:r w:rsidRPr="00AD2DAB">
              <w:rPr>
                <w:rFonts w:eastAsia="Times New Roman"/>
                <w:color w:val="000000"/>
                <w:sz w:val="26"/>
                <w:szCs w:val="26"/>
              </w:rPr>
              <w:t>=</w:t>
            </w:r>
          </w:p>
        </w:tc>
        <w:tc>
          <w:tcPr>
            <w:tcW w:w="2581" w:type="dxa"/>
            <w:shd w:val="clear" w:color="auto" w:fill="FFFFFF"/>
            <w:tcMar>
              <w:top w:w="0" w:type="dxa"/>
              <w:left w:w="108" w:type="dxa"/>
              <w:bottom w:w="0" w:type="dxa"/>
              <w:right w:w="108" w:type="dxa"/>
            </w:tcMar>
            <w:vAlign w:val="center"/>
            <w:hideMark/>
          </w:tcPr>
          <w:p w:rsidR="00AD2DAB" w:rsidRPr="00AD2DAB" w:rsidRDefault="00AD2DAB" w:rsidP="00AD2DAB">
            <w:pPr>
              <w:spacing w:before="120" w:after="120" w:line="234" w:lineRule="atLeast"/>
              <w:rPr>
                <w:rFonts w:eastAsia="Times New Roman"/>
                <w:color w:val="000000"/>
                <w:sz w:val="26"/>
                <w:szCs w:val="26"/>
              </w:rPr>
            </w:pPr>
            <w:r w:rsidRPr="00AD2DAB">
              <w:rPr>
                <w:rFonts w:eastAsia="Times New Roman"/>
                <w:color w:val="000000"/>
                <w:sz w:val="26"/>
                <w:szCs w:val="26"/>
                <w:lang w:val="vi-VN"/>
              </w:rPr>
              <w:t>Mức học bổng chính sách 01 tháng của 01 học sinh, sinh viên của chương trình đào tạo theo niên chế</w:t>
            </w:r>
          </w:p>
        </w:tc>
        <w:tc>
          <w:tcPr>
            <w:tcW w:w="480" w:type="dxa"/>
            <w:shd w:val="clear" w:color="auto" w:fill="FFFFFF"/>
            <w:tcMar>
              <w:top w:w="0" w:type="dxa"/>
              <w:left w:w="108" w:type="dxa"/>
              <w:bottom w:w="0" w:type="dxa"/>
              <w:right w:w="108" w:type="dxa"/>
            </w:tcMar>
            <w:vAlign w:val="center"/>
            <w:hideMark/>
          </w:tcPr>
          <w:p w:rsidR="00AD2DAB" w:rsidRPr="00AD2DAB" w:rsidRDefault="00AD2DAB" w:rsidP="00AD2DAB">
            <w:pPr>
              <w:spacing w:before="120" w:after="120" w:line="234" w:lineRule="atLeast"/>
              <w:rPr>
                <w:rFonts w:eastAsia="Times New Roman"/>
                <w:color w:val="000000"/>
                <w:sz w:val="26"/>
                <w:szCs w:val="26"/>
              </w:rPr>
            </w:pPr>
            <w:r w:rsidRPr="00AD2DAB">
              <w:rPr>
                <w:rFonts w:eastAsia="Times New Roman"/>
                <w:color w:val="000000"/>
                <w:sz w:val="26"/>
                <w:szCs w:val="26"/>
              </w:rPr>
              <w:t>x</w:t>
            </w:r>
          </w:p>
        </w:tc>
        <w:tc>
          <w:tcPr>
            <w:tcW w:w="2868" w:type="dxa"/>
            <w:shd w:val="clear" w:color="auto" w:fill="FFFFFF"/>
            <w:tcMar>
              <w:top w:w="0" w:type="dxa"/>
              <w:left w:w="108" w:type="dxa"/>
              <w:bottom w:w="0" w:type="dxa"/>
              <w:right w:w="108" w:type="dxa"/>
            </w:tcMar>
            <w:vAlign w:val="center"/>
            <w:hideMark/>
          </w:tcPr>
          <w:p w:rsidR="00AD2DAB" w:rsidRPr="00AD2DAB" w:rsidRDefault="00AD2DAB" w:rsidP="00AD2DAB">
            <w:pPr>
              <w:spacing w:before="120" w:after="120" w:line="234" w:lineRule="atLeast"/>
              <w:rPr>
                <w:rFonts w:eastAsia="Times New Roman"/>
                <w:color w:val="000000"/>
                <w:sz w:val="26"/>
                <w:szCs w:val="26"/>
              </w:rPr>
            </w:pPr>
            <w:r w:rsidRPr="00AD2DAB">
              <w:rPr>
                <w:rFonts w:eastAsia="Times New Roman"/>
                <w:color w:val="000000"/>
                <w:sz w:val="26"/>
                <w:szCs w:val="26"/>
                <w:lang w:val="vi-VN"/>
              </w:rPr>
              <w:t>Số tháng học của cả khóa học của chương trình đào tạo theo niên chế</w:t>
            </w:r>
          </w:p>
        </w:tc>
      </w:tr>
    </w:tbl>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g) Không áp dụng học bổng chính sách đối với học sinh, sinh viên học văn bằng hai, đào tạo theo địa chỉ, hình thức đào tạo từ xa, liên kết đào tạo và vừa làm vừa học.</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4. </w:t>
      </w:r>
      <w:r w:rsidRPr="00AD2DAB">
        <w:rPr>
          <w:rFonts w:eastAsia="Times New Roman"/>
          <w:color w:val="000000"/>
          <w:sz w:val="26"/>
          <w:szCs w:val="26"/>
          <w:lang w:val="vi-VN"/>
        </w:rPr>
        <w:t>Hồ sơ hưởng chính sách:</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a) </w:t>
      </w:r>
      <w:r w:rsidRPr="00AD2DAB">
        <w:rPr>
          <w:rFonts w:eastAsia="Times New Roman"/>
          <w:color w:val="000000"/>
          <w:sz w:val="26"/>
          <w:szCs w:val="26"/>
          <w:lang w:val="vi-VN"/>
        </w:rPr>
        <w:t>Đối với sinh viên theo chế độ cử tuyển: Bản cam kết của sinh viên, có xác nhận của nhà trường nơi đang theo học (Mẫu số 01 tại Phụ lục ban hành kèm theo Nghị định này);</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b) </w:t>
      </w:r>
      <w:r w:rsidRPr="00AD2DAB">
        <w:rPr>
          <w:rFonts w:eastAsia="Times New Roman"/>
          <w:color w:val="000000"/>
          <w:sz w:val="26"/>
          <w:szCs w:val="26"/>
          <w:lang w:val="vi-VN"/>
        </w:rPr>
        <w:t>Đối với học sinh trường dự bị đại học, trường phổ thông dân tộc nội trú: Bản sao được cấp từ sổ gốc, bản sao được chứng thực từ bản chính hoặc bản sao kèm theo bản chính để đối chiếu giấy khai sinh; giấy báo trúng tuyển;</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c) </w:t>
      </w:r>
      <w:r w:rsidRPr="00AD2DAB">
        <w:rPr>
          <w:rFonts w:eastAsia="Times New Roman"/>
          <w:color w:val="000000"/>
          <w:sz w:val="26"/>
          <w:szCs w:val="26"/>
          <w:lang w:val="vi-VN"/>
        </w:rPr>
        <w:t>Đối với học viên cơ sở giáo dục nghề nghiệp dành cho thương binh, người khuyết tật: Đơn đề nghị (Mẫu số 02 và Mẫu số 03 tại Phụ lục ban hành kèm theo Nghị định này); bản sao được cấp từ sổ gốc, bản sao được chứng thực từ bản chính hoặc bản sao kèm theo bản chính để đối chiếu giấy khai sinh; bản sao được cấp từ sổ gốc, bản sao được chứng thực từ bản chính hoặc bản sao kèm theo bản chính để đối chiếu giấy xác nhận khuyết tật do Ủy ban nhân dân xã, phường, thị trấn cấp đối với học viên là người khuyết tật; trường hợp học viên chưa có giấy xác nhận khuyết tật thì bổ sung bản sao được cấp từ sổ gốc, bản sao được chứng thực từ bản chính hoặc bản sao kèm theo bản chính để đối chiếu quyết định của Ủy ban nhân dân cấp huyện về việc trợ cấp xã hội đối với người khuyết tật; bản sao được cấp từ sổ gốc, bản sao được chứng thực từ bản chính hoặc bản sao kèm theo bản chính để đối chiếu thẻ thương binh đối với học viên là thương binh.</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5. </w:t>
      </w:r>
      <w:r w:rsidRPr="00AD2DAB">
        <w:rPr>
          <w:rFonts w:eastAsia="Times New Roman"/>
          <w:color w:val="000000"/>
          <w:sz w:val="26"/>
          <w:szCs w:val="26"/>
          <w:lang w:val="vi-VN"/>
        </w:rPr>
        <w:t>Trình tự xét, cấp học bổng: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a) Đối với sinh viên theo chế độ cử tuyển:</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 xml:space="preserve">- Trong thời hạn 15 ngày kể từ ngày nhập học, sinh viên nộp hồ sơ trực tiếp hoặc qua đường bưu điện hoặc nộp trực tuyến theo quy định về Sở Nội vụ nơi đăng ký hộ khẩu thường trú đối với sinh viên trường đại học, trường cao đẳng sư phạm hoặc Sở lao động </w:t>
      </w:r>
      <w:r w:rsidRPr="00AD2DAB">
        <w:rPr>
          <w:rFonts w:eastAsia="Times New Roman"/>
          <w:color w:val="000000"/>
          <w:sz w:val="26"/>
          <w:szCs w:val="26"/>
          <w:lang w:val="vi-VN"/>
        </w:rPr>
        <w:lastRenderedPageBreak/>
        <w:t>- Thương binh và Xã hội nơi đăng ký hộ khẩu thường trú đối với sinh viên trường cao đẳng trừ sinh viên trường cao đẳng sư phạm. Mỗi sinh viên chỉ nộp một bộ hồ sơ một lần để đề nghị cấp học bổng trong cả thời gian học tại cơ sở giáo dục;</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 </w:t>
      </w:r>
      <w:r w:rsidRPr="00AD2DAB">
        <w:rPr>
          <w:rFonts w:eastAsia="Times New Roman"/>
          <w:color w:val="000000"/>
          <w:sz w:val="26"/>
          <w:szCs w:val="26"/>
          <w:lang w:val="vi-VN"/>
        </w:rPr>
        <w:t>Sở Nội vụ, Sở Lao động - Thương binh và Xã hội tiếp nhận hồ sơ, thẩm định, lập danh sách, dự toán nhu cầu kinh phí (Mẫu số 04 tại Phụ lục ban hành kèm theo Nghị định này) và thực hiện việc chi trả học bổng chính sách cho sinh viên theo quy định. Trường hợp hồ sơ không bảo đảm đúng quy định, Sở Nội vụ, Sở Lao động - Thương binh và Xã hội có trách nhiệm thông báo cho người học trong thời hạn 07 ngày làm việc kể từ ngày nhận được hồ sơ;</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 </w:t>
      </w:r>
      <w:r w:rsidRPr="00AD2DAB">
        <w:rPr>
          <w:rFonts w:eastAsia="Times New Roman"/>
          <w:color w:val="000000"/>
          <w:sz w:val="26"/>
          <w:szCs w:val="26"/>
          <w:lang w:val="vi-VN"/>
        </w:rPr>
        <w:t>Sinh viên nhận học bổng chính sách trực tiếp tại Sở Nội vụ, Sở Lao động - Thương binh và Xã hội hoặc thông qua tài khoản ngân hàng của sinh viên theo định kỳ xét, cấp học bổng.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b) </w:t>
      </w:r>
      <w:r w:rsidRPr="00AD2DAB">
        <w:rPr>
          <w:rFonts w:eastAsia="Times New Roman"/>
          <w:color w:val="000000"/>
          <w:sz w:val="26"/>
          <w:szCs w:val="26"/>
          <w:lang w:val="vi-VN"/>
        </w:rPr>
        <w:t>Đối với học sinh trường dự bị đại học, trường phổ thông dân tộc nội trú:</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 </w:t>
      </w:r>
      <w:r w:rsidRPr="00AD2DAB">
        <w:rPr>
          <w:rFonts w:eastAsia="Times New Roman"/>
          <w:color w:val="000000"/>
          <w:sz w:val="26"/>
          <w:szCs w:val="26"/>
          <w:lang w:val="vi-VN"/>
        </w:rPr>
        <w:t>Trong thời hạn 15 ngày kể từ ngày nhập học, học sinh nộp hồ sơ theo quy định cho nhà trường nơi học sinh đang theo học để xét, cấp học bổng chính sách. Mỗi học sinh chỉ nộp một bộ hồ sơ một lần để đề nghị cấp học bổng trong cả thời gian học tại cơ sở giáo dục;</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 </w:t>
      </w:r>
      <w:r w:rsidRPr="00AD2DAB">
        <w:rPr>
          <w:rFonts w:eastAsia="Times New Roman"/>
          <w:color w:val="000000"/>
          <w:sz w:val="26"/>
          <w:szCs w:val="26"/>
          <w:lang w:val="vi-VN"/>
        </w:rPr>
        <w:t>Cơ sở giáo dục tiếp nhận hồ sơ, thẩm định, lập danh sách, dự toán nhu cầu kinh phí (Mẫu số 04 tại Phụ lục ban hành kèm theo Nghị định này) gửi về cơ quan quản lý trực tiếp. Trường hợp hồ sơ không bảo đảm đúng quy định, cơ sở giáo dục có trách nhiệm thông báo cho người học trong thời hạn 05 ngày làm việc kể từ ngày nhận được hồ sơ;</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 </w:t>
      </w:r>
      <w:r w:rsidRPr="00AD2DAB">
        <w:rPr>
          <w:rFonts w:eastAsia="Times New Roman"/>
          <w:color w:val="000000"/>
          <w:sz w:val="26"/>
          <w:szCs w:val="26"/>
          <w:lang w:val="vi-VN"/>
        </w:rPr>
        <w:t>Học sinh nhận học bổng chính sách tại cơ sở giáo dục đang theo học theo định kỳ xét, cấp học bổng chính sách theo quy định.</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c) </w:t>
      </w:r>
      <w:r w:rsidRPr="00AD2DAB">
        <w:rPr>
          <w:rFonts w:eastAsia="Times New Roman"/>
          <w:color w:val="000000"/>
          <w:sz w:val="26"/>
          <w:szCs w:val="26"/>
          <w:lang w:val="vi-VN"/>
        </w:rPr>
        <w:t>Đối với học viên cơ sở giáo dục nghề nghiệp dành cho thương binh, người khuyết tật:</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 </w:t>
      </w:r>
      <w:r w:rsidRPr="00AD2DAB">
        <w:rPr>
          <w:rFonts w:eastAsia="Times New Roman"/>
          <w:color w:val="000000"/>
          <w:sz w:val="26"/>
          <w:szCs w:val="26"/>
          <w:lang w:val="vi-VN"/>
        </w:rPr>
        <w:t>Trong thời hạn 15 ngày kể từ ngày nhập học, cơ sở giáo dục nghề nghiệp thông báo cho học viên về chế độ học bổng chính sách, thời gian nộp hồ sơ và hướng dẫn học viên nộp hồ sơ theo quy định. Mỗi học viên chỉ phải nộp một bộ hồ sơ một lần để đề nghị cấp học bổng trong cả thời gian học tại cơ sở giáo dục nghề nghiệp;</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 </w:t>
      </w:r>
      <w:r w:rsidRPr="00AD2DAB">
        <w:rPr>
          <w:rFonts w:eastAsia="Times New Roman"/>
          <w:color w:val="000000"/>
          <w:sz w:val="26"/>
          <w:szCs w:val="26"/>
          <w:lang w:val="vi-VN"/>
        </w:rPr>
        <w:t>Đối với học viên cơ sở giáo dục nghề nghiệp công lập: Hiệu trưởng cơ sở giáo dục nghề nghiệp công lập tổ chức thẩm định hồ sơ, tổng hợp, lập danh sách và dự toán kinh phí thực hiện chế độ hỗ trợ chi phí học tập cho sinh viên </w:t>
      </w:r>
      <w:r w:rsidRPr="00AD2DAB">
        <w:rPr>
          <w:rFonts w:eastAsia="Times New Roman"/>
          <w:color w:val="000000"/>
          <w:sz w:val="26"/>
          <w:szCs w:val="26"/>
        </w:rPr>
        <w:t>(Mẫu </w:t>
      </w:r>
      <w:r w:rsidRPr="00AD2DAB">
        <w:rPr>
          <w:rFonts w:eastAsia="Times New Roman"/>
          <w:color w:val="000000"/>
          <w:sz w:val="26"/>
          <w:szCs w:val="26"/>
          <w:lang w:val="vi-VN"/>
        </w:rPr>
        <w:t>số 04 tại Phụ lục ban hành kèm theo Nghị định này) trình cơ quan quản lý trực tiếp phê duyệt, tổng hợp gửi cơ quan tài chính trình cấp có thẩm quyền phê duyệt. Trường hợp hồ sơ không bảo đảm đúng quy định, cơ sở giáo dục nghề nghiệp công lập có trách nhiệm thông báo cho người học trong thời hạn 05 ngày làm việc kể từ ngày nhận được hồ sơ;</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 </w:t>
      </w:r>
      <w:r w:rsidRPr="00AD2DAB">
        <w:rPr>
          <w:rFonts w:eastAsia="Times New Roman"/>
          <w:color w:val="000000"/>
          <w:sz w:val="26"/>
          <w:szCs w:val="26"/>
          <w:lang w:val="vi-VN"/>
        </w:rPr>
        <w:t xml:space="preserve">Đối với học viên cơ sở giáo dục nghề nghiệp tư thục: Học viên làm đơn đề nghị (Mẫu số 03 tại Phụ lục ban hành kèm theo Nghị định này) gửi cơ sở giáo dục nghề nghiệp nơi theo học để xác nhận vào đơn trong thời hạn 10 ngày làm việc kể từ ngày nhận được đơn và hướng dẫn học viên gửi hồ sơ về Phòng Lao động - Thương binh và Xã hội nơi học viên có hộ khẩu thường trú. Phòng Lao động - Thương binh và Xã hội tổ chức thẩm định, phê duyệt danh sách đối tượng được hưởng chính sách và xây dựng dự toán kinh phí thực hiện gửi cơ quan tài chính cùng cấp, trình cấp có thẩm quyền phê duyệt. Trường hợp hồ sơ không bảo đảm theo quy định, Phòng Lao động - Thương binh và Xã </w:t>
      </w:r>
      <w:r w:rsidRPr="00AD2DAB">
        <w:rPr>
          <w:rFonts w:eastAsia="Times New Roman"/>
          <w:color w:val="000000"/>
          <w:sz w:val="26"/>
          <w:szCs w:val="26"/>
          <w:lang w:val="vi-VN"/>
        </w:rPr>
        <w:lastRenderedPageBreak/>
        <w:t>hội có trách nhiệm thông báo cho người học trong thời hạn 07 ngày làm việc kể từ ngày nhận được hồ sơ;</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 </w:t>
      </w:r>
      <w:r w:rsidRPr="00AD2DAB">
        <w:rPr>
          <w:rFonts w:eastAsia="Times New Roman"/>
          <w:color w:val="000000"/>
          <w:sz w:val="26"/>
          <w:szCs w:val="26"/>
          <w:lang w:val="vi-VN"/>
        </w:rPr>
        <w:t>Trường hợp học viên không nộp đ</w:t>
      </w:r>
      <w:r w:rsidRPr="00AD2DAB">
        <w:rPr>
          <w:rFonts w:eastAsia="Times New Roman"/>
          <w:color w:val="000000"/>
          <w:sz w:val="26"/>
          <w:szCs w:val="26"/>
        </w:rPr>
        <w:t>ủ </w:t>
      </w:r>
      <w:r w:rsidRPr="00AD2DAB">
        <w:rPr>
          <w:rFonts w:eastAsia="Times New Roman"/>
          <w:color w:val="000000"/>
          <w:sz w:val="26"/>
          <w:szCs w:val="26"/>
          <w:lang w:val="vi-VN"/>
        </w:rPr>
        <w:t>hồ sơ theo quy định thì chỉ được chi trả học bổng chính sách tính từ ngày cơ sở giáo dục nghề nghiệp, Phòng Lao động - Thương binh và Xã hội nhận đủ hồ sơ theo quy định và không được truy lĩnh học bổng chính sách đối với thời gian đã học từ trước thời điểm học viên nộp đủ hồ sơ theo quy định.</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6. </w:t>
      </w:r>
      <w:r w:rsidRPr="00AD2DAB">
        <w:rPr>
          <w:rFonts w:eastAsia="Times New Roman"/>
          <w:color w:val="000000"/>
          <w:sz w:val="26"/>
          <w:szCs w:val="26"/>
          <w:lang w:val="vi-VN"/>
        </w:rPr>
        <w:t>Kinh phí thực hiện học bổng chính sách:</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a) </w:t>
      </w:r>
      <w:r w:rsidRPr="00AD2DAB">
        <w:rPr>
          <w:rFonts w:eastAsia="Times New Roman"/>
          <w:color w:val="000000"/>
          <w:sz w:val="26"/>
          <w:szCs w:val="26"/>
          <w:lang w:val="vi-VN"/>
        </w:rPr>
        <w:t>Kinh phí thực hiện học bổng chính sách quy định tại Nghị định này được cân đối trong dự toán chi ngân sách nhà nước của lĩnh vực giáo dục, đào tạo và giáo dục nghề nghiệp hằng năm theo phân cấp quản lý ngân sách nhà nước;</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b) </w:t>
      </w:r>
      <w:r w:rsidRPr="00AD2DAB">
        <w:rPr>
          <w:rFonts w:eastAsia="Times New Roman"/>
          <w:color w:val="000000"/>
          <w:sz w:val="26"/>
          <w:szCs w:val="26"/>
          <w:lang w:val="vi-VN"/>
        </w:rPr>
        <w:t>Ngân sách trung ương bảo đảm kinh phí thực hiện chế độ học bổng chính sách đối với học sinh, sinh viên đang theo học tại các trường dự bị đại học, trường phổ thông dân tộc nội trú thuộc các bộ, ngành trung ương quản lý;</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c) </w:t>
      </w:r>
      <w:r w:rsidRPr="00AD2DAB">
        <w:rPr>
          <w:rFonts w:eastAsia="Times New Roman"/>
          <w:color w:val="000000"/>
          <w:sz w:val="26"/>
          <w:szCs w:val="26"/>
          <w:lang w:val="vi-VN"/>
        </w:rPr>
        <w:t>Ngân sách địa phương bảo đảm kinh phí thực hiện chế độ học bổng chính sách đối với học sinh, sinh viên theo chế độ cử tuyển không phân biệt cơ sở giáo dục nghề nghiệp, cơ sở giáo dục đại học nơi học sinh, sinh viên đang theo học thuộc các bộ, ngành trung ương hoặc do địa phương quản lý; kinh phí thực hiện chế độ học bổng chính sách đối với học viên là thương binh, người khuyết tật trong cơ sở giáo dục nghề nghiệp dành cho thương binh, người khuyết tật thuộc địa phương quản lý, học sinh các trường dự bị đại học thuộc địa phương quản lý;</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d) </w:t>
      </w:r>
      <w:r w:rsidRPr="00AD2DAB">
        <w:rPr>
          <w:rFonts w:eastAsia="Times New Roman"/>
          <w:color w:val="000000"/>
          <w:sz w:val="26"/>
          <w:szCs w:val="26"/>
          <w:lang w:val="vi-VN"/>
        </w:rPr>
        <w:t>Kinh phí thực hiện chế độ học bổng chính sách đối với học sinh trường phổ thông dân tộc nội trú thuộc địa phương quản lý do ngân sách địa phương bảo đảm. Ngân sách trung ương hỗ trợ theo nguyên tắc hỗ trợ có mục tiêu từ ngân sách trung ương cho ngân sách địa phương thực hiện các chính sách an sinh xã hội do Thủ tướng Chính phủ quyết định.</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7. </w:t>
      </w:r>
      <w:r w:rsidRPr="00AD2DAB">
        <w:rPr>
          <w:rFonts w:eastAsia="Times New Roman"/>
          <w:color w:val="000000"/>
          <w:sz w:val="26"/>
          <w:szCs w:val="26"/>
          <w:lang w:val="vi-VN"/>
        </w:rPr>
        <w:t>Phương thức chi trả học bổng chính sách:</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 a) </w:t>
      </w:r>
      <w:r w:rsidRPr="00AD2DAB">
        <w:rPr>
          <w:rFonts w:eastAsia="Times New Roman"/>
          <w:color w:val="000000"/>
          <w:sz w:val="26"/>
          <w:szCs w:val="26"/>
          <w:lang w:val="vi-VN"/>
        </w:rPr>
        <w:t>Đối với sinh viên theo chế độ cử tuyển: Căn cứ vào dự toán kinh phí sự nghiệp giáo dục đã được thông báo, Sở Nội vụ, Sở Lao động - Thương binh và Xã hội theo thẩm quyền thực hiện việc quản lý kinh phí, tổ chức cấp học bổng chính sách đối với sinh viên thuộc diện được hưởng học bổng chính sách theo quy định.</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Căn cứ điều kiện cụ thể của từng địa phương và điều kiện của cơ sở giáo dục có sinh viên thuộc diện được hưởng học bổng chính sách, Ủy ban nhân dân cấp tỉnh hoặc cơ quan được Ủy ban nhân dân cấp tỉnh ủy quyền chủ động lựa chọn hình thức chuyển tiền theo một trong các phương thức: Trực tiếp chuyển kinh phí cho các cơ sở giáo dục theo hợp đồng, cấp tiền mặt trực tiếp cho gia đình người học hoặc cho người học, chuyển qua tài khoản hoặc các hình thức chuyển tiền hợp pháp khác (nếu có) cho người học.</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b) </w:t>
      </w:r>
      <w:r w:rsidRPr="00AD2DAB">
        <w:rPr>
          <w:rFonts w:eastAsia="Times New Roman"/>
          <w:color w:val="000000"/>
          <w:sz w:val="26"/>
          <w:szCs w:val="26"/>
          <w:lang w:val="vi-VN"/>
        </w:rPr>
        <w:t>Đối với học sinh trường dự bị đại học, trường phổ thông dân tộc nội trú: Căn cứ vào dự toán kinh phí sự nghiệp giáo dục đã được thông báo, các cơ sở giáo dục thực hiện việc quản lý kinh phí, tổ chức cấp học bổng đối với học sinh thuộc diện được hưởng học bổng chính sách theo quy định;</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c) </w:t>
      </w:r>
      <w:r w:rsidRPr="00AD2DAB">
        <w:rPr>
          <w:rFonts w:eastAsia="Times New Roman"/>
          <w:color w:val="000000"/>
          <w:sz w:val="26"/>
          <w:szCs w:val="26"/>
          <w:lang w:val="vi-VN"/>
        </w:rPr>
        <w:t>Đối với học viên cơ sở giáo dục nghề nghiệp dành cho thương binh, người khuyết tật:</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lastRenderedPageBreak/>
        <w:t>- </w:t>
      </w:r>
      <w:r w:rsidRPr="00AD2DAB">
        <w:rPr>
          <w:rFonts w:eastAsia="Times New Roman"/>
          <w:color w:val="000000"/>
          <w:sz w:val="26"/>
          <w:szCs w:val="26"/>
          <w:lang w:val="vi-VN"/>
        </w:rPr>
        <w:t>Đối với học viên cơ sở giáo dục nghề nghiệp công lập: Cơ sở giáo dục nơi học viên đang theo học chịu trách nhiệm quản lý, tổ chức thực hiện chi trả học bổng chính sách trực tiếp bằng tiền mặt cho học viên;</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 </w:t>
      </w:r>
      <w:r w:rsidRPr="00AD2DAB">
        <w:rPr>
          <w:rFonts w:eastAsia="Times New Roman"/>
          <w:color w:val="000000"/>
          <w:sz w:val="26"/>
          <w:szCs w:val="26"/>
          <w:lang w:val="vi-VN"/>
        </w:rPr>
        <w:t>Đối với học viên cơ sở giáo dục nghề nghiệp tư thục: Phòng Lao động - Thương binh và Xã hội nơi học viên có hộ khẩu thường trú chịu trách nhiệm quản lý, tổ chức thực hiện chi trả học bổng chính sách cho học viên theo một trong các phương thức: cấp tiền mặt trực tiếp hoặc chuyển qua tài khoản hoặc các hình thức chuyển tiền hợp pháp khác (nếu có).</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8. </w:t>
      </w:r>
      <w:r w:rsidRPr="00AD2DAB">
        <w:rPr>
          <w:rFonts w:eastAsia="Times New Roman"/>
          <w:color w:val="000000"/>
          <w:sz w:val="26"/>
          <w:szCs w:val="26"/>
          <w:lang w:val="vi-VN"/>
        </w:rPr>
        <w:t>Thời gian cấp học bổng chính sách: Học bổng chính sách được cấp hai lần trong năm học, mỗi lần cấp 06 tháng, lần thứ nhất cấp vào tháng 10, lần thứ hai cấp vào tháng 3. Trường hợp học sinh, sinh viên, học viên chưa nhận được học bổng chính sách theo thời hạn quy định thì được truy lĩnh trong kỳ cấp học bổng tiếp theo.</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9. </w:t>
      </w:r>
      <w:r w:rsidRPr="00AD2DAB">
        <w:rPr>
          <w:rFonts w:eastAsia="Times New Roman"/>
          <w:color w:val="000000"/>
          <w:sz w:val="26"/>
          <w:szCs w:val="26"/>
          <w:lang w:val="vi-VN"/>
        </w:rPr>
        <w:t>Sinh viên theo chế độ cử tuyển tự thôi học hoặc bị kỷ luật buộc thôi học thì phải bồi hoàn toàn bộ số tiền học bổng đã nhận cho cơ quan cấp học bổng, trừ các trường hợp tự thôi học do bất khả kháng.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10. </w:t>
      </w:r>
      <w:r w:rsidRPr="00AD2DAB">
        <w:rPr>
          <w:rFonts w:eastAsia="Times New Roman"/>
          <w:color w:val="000000"/>
          <w:sz w:val="26"/>
          <w:szCs w:val="26"/>
          <w:lang w:val="vi-VN"/>
        </w:rPr>
        <w:t>Việc lập dự toán, phân bổ kinh phí, thực hiện theo quy định của Luật Ngân sách nhà nước và các văn bản có liên quan.</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11. </w:t>
      </w:r>
      <w:r w:rsidRPr="00AD2DAB">
        <w:rPr>
          <w:rFonts w:eastAsia="Times New Roman"/>
          <w:color w:val="000000"/>
          <w:sz w:val="26"/>
          <w:szCs w:val="26"/>
          <w:lang w:val="vi-VN"/>
        </w:rPr>
        <w:t>Quản lý, sử dụng và quyết toán kinh phí:</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a) </w:t>
      </w:r>
      <w:r w:rsidRPr="00AD2DAB">
        <w:rPr>
          <w:rFonts w:eastAsia="Times New Roman"/>
          <w:color w:val="000000"/>
          <w:sz w:val="26"/>
          <w:szCs w:val="26"/>
          <w:lang w:val="vi-VN"/>
        </w:rPr>
        <w:t>Việc quản lý, sử dụng và quyết toán kinh phí thực hiện theo quy định của Luật Ngân sách nhà nước, các văn bản hướng dẫn thực hiện và mục lục ngân sách nhà nước hiện hành;</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b) </w:t>
      </w:r>
      <w:r w:rsidRPr="00AD2DAB">
        <w:rPr>
          <w:rFonts w:eastAsia="Times New Roman"/>
          <w:color w:val="000000"/>
          <w:sz w:val="26"/>
          <w:szCs w:val="26"/>
          <w:lang w:val="vi-VN"/>
        </w:rPr>
        <w:t>Hằng năm, các bộ, ngành, cơ quan trung ương, Ủy ban nhân dân cấp tỉnh có trách nhiệm tổng hợp và báo cáo Bộ Giáo dục và Đào tạo, Bộ Lao động - Thương binh và Xã hội, Bộ Tài chính kết quả thực hiện việc cấp kinh phí cho học sinh, sinh viên vào thời điểm kết thúc năm học.</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b/>
          <w:bCs/>
          <w:color w:val="000000"/>
          <w:sz w:val="26"/>
          <w:szCs w:val="26"/>
          <w:lang w:val="vi-VN"/>
        </w:rPr>
        <w:t>Điều 10. Miễn, giảm giá vé dịch vụ công cộng cho học sinh, sinh viên</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1. </w:t>
      </w:r>
      <w:r w:rsidRPr="00AD2DAB">
        <w:rPr>
          <w:rFonts w:eastAsia="Times New Roman"/>
          <w:color w:val="000000"/>
          <w:sz w:val="26"/>
          <w:szCs w:val="26"/>
          <w:lang w:val="vi-VN"/>
        </w:rPr>
        <w:t>Đối với dịch vụ công cộng về giao thông: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a) </w:t>
      </w:r>
      <w:r w:rsidRPr="00AD2DAB">
        <w:rPr>
          <w:rFonts w:eastAsia="Times New Roman"/>
          <w:color w:val="000000"/>
          <w:sz w:val="26"/>
          <w:szCs w:val="26"/>
          <w:lang w:val="vi-VN"/>
        </w:rPr>
        <w:t>Học sinh, sinh viên được giảm giá vé tàu hỏa, xe ô tô buýt;</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b) </w:t>
      </w:r>
      <w:r w:rsidRPr="00AD2DAB">
        <w:rPr>
          <w:rFonts w:eastAsia="Times New Roman"/>
          <w:color w:val="000000"/>
          <w:sz w:val="26"/>
          <w:szCs w:val="26"/>
          <w:lang w:val="vi-VN"/>
        </w:rPr>
        <w:t>Đơn vị tham gia vận tải công cộng phát hành vé giảm giá cho học sinh, sinh viên khi học sinh, sinh viên xuất trình thẻ học sinh, sinh viên.</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2. </w:t>
      </w:r>
      <w:r w:rsidRPr="00AD2DAB">
        <w:rPr>
          <w:rFonts w:eastAsia="Times New Roman"/>
          <w:color w:val="000000"/>
          <w:sz w:val="26"/>
          <w:szCs w:val="26"/>
          <w:lang w:val="vi-VN"/>
        </w:rPr>
        <w:t>Đối với dịch vụ công cộng về giải trí, tham quan viện bảo tàng, di tích lịch sử, công trình văn hóa:</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a) </w:t>
      </w:r>
      <w:r w:rsidRPr="00AD2DAB">
        <w:rPr>
          <w:rFonts w:eastAsia="Times New Roman"/>
          <w:color w:val="000000"/>
          <w:sz w:val="26"/>
          <w:szCs w:val="26"/>
          <w:lang w:val="vi-VN"/>
        </w:rPr>
        <w:t>Học sinh, sinh viên được giảm giá vé dịch vụ khi trực tiếp sử dụng các dịch vụ gồm: Bảo tàng, di tích lịch sử, thư viện, triển lãm;</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b) </w:t>
      </w:r>
      <w:r w:rsidRPr="00AD2DAB">
        <w:rPr>
          <w:rFonts w:eastAsia="Times New Roman"/>
          <w:color w:val="000000"/>
          <w:sz w:val="26"/>
          <w:szCs w:val="26"/>
          <w:lang w:val="vi-VN"/>
        </w:rPr>
        <w:t>Cơ sở văn hóa, giải trí phát hành vé giảm giá cho học sinh, sinh viên khi học sinh, sinh viên xuất trình thẻ học sinh, sinh viên.</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3. </w:t>
      </w:r>
      <w:r w:rsidRPr="00AD2DAB">
        <w:rPr>
          <w:rFonts w:eastAsia="Times New Roman"/>
          <w:color w:val="000000"/>
          <w:sz w:val="26"/>
          <w:szCs w:val="26"/>
          <w:lang w:val="vi-VN"/>
        </w:rPr>
        <w:t>Căn cứ điều kiện cụ thể, Chủ tịch Ủy ban nhân dân cấp tỉnh quyết định mức miễn, giảm giá vé dịch vụ công cộng cho học sinh, sinh viên thuộc thẩm quyền quản lý.</w:t>
      </w:r>
    </w:p>
    <w:p w:rsidR="00AD2DAB" w:rsidRPr="00AD2DAB" w:rsidRDefault="00AD2DAB" w:rsidP="00AD2DAB">
      <w:pPr>
        <w:shd w:val="clear" w:color="auto" w:fill="FFFFFF"/>
        <w:spacing w:line="234" w:lineRule="atLeast"/>
        <w:rPr>
          <w:rFonts w:eastAsia="Times New Roman"/>
          <w:color w:val="000000"/>
          <w:sz w:val="26"/>
          <w:szCs w:val="26"/>
        </w:rPr>
      </w:pPr>
      <w:r w:rsidRPr="00AD2DAB">
        <w:rPr>
          <w:rFonts w:eastAsia="Times New Roman"/>
          <w:color w:val="000000"/>
          <w:sz w:val="26"/>
          <w:szCs w:val="26"/>
        </w:rPr>
        <w:t>4. </w:t>
      </w:r>
      <w:r w:rsidRPr="00AD2DAB">
        <w:rPr>
          <w:rFonts w:eastAsia="Times New Roman"/>
          <w:color w:val="000000"/>
          <w:sz w:val="26"/>
          <w:szCs w:val="26"/>
          <w:lang w:val="vi-VN"/>
        </w:rPr>
        <w:t>Học sinh, sinh viên là người khuyết tật được miễn, giảm giá vé dịch vụ công cộng về giao thông, giải trí, tham quan viện bảo tàng, di tích lịch sử, công trình văn hóa theo quy định tại Nghị định số </w:t>
      </w:r>
      <w:hyperlink r:id="rId5" w:tgtFrame="_blank" w:tooltip="Nghị định 28/2012/NĐ-CP" w:history="1">
        <w:r w:rsidRPr="00AD2DAB">
          <w:rPr>
            <w:rFonts w:eastAsia="Times New Roman"/>
            <w:color w:val="0E70C3"/>
            <w:sz w:val="26"/>
            <w:szCs w:val="26"/>
            <w:lang w:val="vi-VN"/>
          </w:rPr>
          <w:t>28/2012/NĐ-CP</w:t>
        </w:r>
      </w:hyperlink>
      <w:r w:rsidRPr="00AD2DAB">
        <w:rPr>
          <w:rFonts w:eastAsia="Times New Roman"/>
          <w:color w:val="000000"/>
          <w:sz w:val="26"/>
          <w:szCs w:val="26"/>
          <w:lang w:val="vi-VN"/>
        </w:rPr>
        <w:t> ngày 10 tháng 4 năm 2012 của Chính phủ quy định chi tiết và hướng dẫn thi hành một số điều của Luật Người khuyết tật.</w:t>
      </w:r>
    </w:p>
    <w:p w:rsidR="00AD2DAB" w:rsidRPr="00AD2DAB" w:rsidRDefault="00AD2DAB" w:rsidP="00AD2DAB">
      <w:pPr>
        <w:shd w:val="clear" w:color="auto" w:fill="FFFFFF"/>
        <w:spacing w:line="234" w:lineRule="atLeast"/>
        <w:rPr>
          <w:rFonts w:eastAsia="Times New Roman"/>
          <w:color w:val="000000"/>
          <w:sz w:val="26"/>
          <w:szCs w:val="26"/>
        </w:rPr>
      </w:pPr>
      <w:r w:rsidRPr="00AD2DAB">
        <w:rPr>
          <w:rFonts w:eastAsia="Times New Roman"/>
          <w:color w:val="000000"/>
          <w:sz w:val="26"/>
          <w:szCs w:val="26"/>
          <w:lang w:val="vi-VN"/>
        </w:rPr>
        <w:lastRenderedPageBreak/>
        <w:t>Học sinh, sinh viên là đối tượng chính sách xã hội được miễn, giảm giá vé tàu theo quy định tại Nghị định số </w:t>
      </w:r>
      <w:hyperlink r:id="rId6" w:tgtFrame="_blank" w:tooltip="Nghị định 65/2018/NĐ-CP" w:history="1">
        <w:r w:rsidRPr="00AD2DAB">
          <w:rPr>
            <w:rFonts w:eastAsia="Times New Roman"/>
            <w:color w:val="0E70C3"/>
            <w:sz w:val="26"/>
            <w:szCs w:val="26"/>
            <w:lang w:val="vi-VN"/>
          </w:rPr>
          <w:t>65/2018/NĐ-CP</w:t>
        </w:r>
      </w:hyperlink>
      <w:r w:rsidRPr="00AD2DAB">
        <w:rPr>
          <w:rFonts w:eastAsia="Times New Roman"/>
          <w:color w:val="000000"/>
          <w:sz w:val="26"/>
          <w:szCs w:val="26"/>
          <w:lang w:val="vi-VN"/>
        </w:rPr>
        <w:t> ngày 12 tháng 5 năm 2018 của Chính phủ quy định chi tiết thi hành một số điều của Luật Đường sắt.</w:t>
      </w:r>
    </w:p>
    <w:p w:rsidR="00AD2DAB" w:rsidRPr="00890EE1" w:rsidRDefault="00AD2DAB" w:rsidP="00890EE1">
      <w:pPr>
        <w:shd w:val="clear" w:color="auto" w:fill="FFFFFF"/>
        <w:spacing w:before="120" w:after="120" w:line="234" w:lineRule="atLeast"/>
        <w:jc w:val="center"/>
        <w:rPr>
          <w:rFonts w:eastAsia="Times New Roman"/>
          <w:color w:val="000000"/>
          <w:sz w:val="26"/>
          <w:szCs w:val="26"/>
          <w:highlight w:val="yellow"/>
        </w:rPr>
      </w:pPr>
      <w:r w:rsidRPr="00890EE1">
        <w:rPr>
          <w:rFonts w:eastAsia="Times New Roman"/>
          <w:b/>
          <w:bCs/>
          <w:color w:val="000000"/>
          <w:sz w:val="26"/>
          <w:szCs w:val="26"/>
          <w:highlight w:val="yellow"/>
          <w:lang w:val="vi-VN"/>
        </w:rPr>
        <w:t>Chương V</w:t>
      </w:r>
    </w:p>
    <w:p w:rsidR="00AD2DAB" w:rsidRPr="00890EE1" w:rsidRDefault="00AD2DAB" w:rsidP="00AD2DAB">
      <w:pPr>
        <w:shd w:val="clear" w:color="auto" w:fill="FFFFFF"/>
        <w:spacing w:before="120" w:after="120" w:line="234" w:lineRule="atLeast"/>
        <w:jc w:val="center"/>
        <w:rPr>
          <w:rFonts w:eastAsia="Times New Roman"/>
          <w:color w:val="000000"/>
          <w:sz w:val="26"/>
          <w:szCs w:val="26"/>
          <w:highlight w:val="yellow"/>
        </w:rPr>
      </w:pPr>
      <w:r w:rsidRPr="00890EE1">
        <w:rPr>
          <w:rFonts w:eastAsia="Times New Roman"/>
          <w:b/>
          <w:bCs/>
          <w:color w:val="000000"/>
          <w:sz w:val="26"/>
          <w:szCs w:val="26"/>
          <w:highlight w:val="yellow"/>
          <w:lang w:val="vi-VN"/>
        </w:rPr>
        <w:t>ĐIỀU KHOẢN THI HÀNH</w:t>
      </w:r>
    </w:p>
    <w:p w:rsidR="00AD2DAB" w:rsidRPr="00890EE1" w:rsidRDefault="00AD2DAB" w:rsidP="00AD2DAB">
      <w:pPr>
        <w:shd w:val="clear" w:color="auto" w:fill="FFFFFF"/>
        <w:spacing w:before="120" w:after="120" w:line="234" w:lineRule="atLeast"/>
        <w:rPr>
          <w:rFonts w:eastAsia="Times New Roman"/>
          <w:color w:val="000000"/>
          <w:sz w:val="26"/>
          <w:szCs w:val="26"/>
          <w:highlight w:val="yellow"/>
        </w:rPr>
      </w:pPr>
      <w:r w:rsidRPr="00890EE1">
        <w:rPr>
          <w:rFonts w:eastAsia="Times New Roman"/>
          <w:b/>
          <w:bCs/>
          <w:color w:val="000000"/>
          <w:sz w:val="26"/>
          <w:szCs w:val="26"/>
          <w:highlight w:val="yellow"/>
          <w:lang w:val="vi-VN"/>
        </w:rPr>
        <w:t>Điều 11. Hiệu lực thi hành</w:t>
      </w:r>
    </w:p>
    <w:p w:rsidR="00AD2DAB" w:rsidRPr="00890EE1" w:rsidRDefault="00AD2DAB" w:rsidP="00AD2DAB">
      <w:pPr>
        <w:shd w:val="clear" w:color="auto" w:fill="FFFFFF"/>
        <w:spacing w:before="120" w:after="120" w:line="234" w:lineRule="atLeast"/>
        <w:rPr>
          <w:rFonts w:eastAsia="Times New Roman"/>
          <w:color w:val="000000"/>
          <w:sz w:val="26"/>
          <w:szCs w:val="26"/>
          <w:highlight w:val="yellow"/>
        </w:rPr>
      </w:pPr>
      <w:r w:rsidRPr="00890EE1">
        <w:rPr>
          <w:rFonts w:eastAsia="Times New Roman"/>
          <w:color w:val="000000"/>
          <w:sz w:val="26"/>
          <w:szCs w:val="26"/>
          <w:highlight w:val="yellow"/>
        </w:rPr>
        <w:t>1. </w:t>
      </w:r>
      <w:r w:rsidRPr="00890EE1">
        <w:rPr>
          <w:rFonts w:eastAsia="Times New Roman"/>
          <w:color w:val="000000"/>
          <w:sz w:val="26"/>
          <w:szCs w:val="26"/>
          <w:highlight w:val="yellow"/>
          <w:lang w:val="vi-VN"/>
        </w:rPr>
        <w:t>Nghị định này có hiệu lực thi hành từ ngày 01 tháng 9 năm 2020.</w:t>
      </w:r>
    </w:p>
    <w:p w:rsidR="00AD2DAB" w:rsidRPr="002B16ED" w:rsidRDefault="00AD2DAB" w:rsidP="00AD2DAB">
      <w:pPr>
        <w:shd w:val="clear" w:color="auto" w:fill="FFFFFF"/>
        <w:spacing w:line="234" w:lineRule="atLeast"/>
        <w:rPr>
          <w:rFonts w:eastAsia="Times New Roman"/>
          <w:color w:val="000000"/>
          <w:sz w:val="26"/>
          <w:szCs w:val="26"/>
        </w:rPr>
      </w:pPr>
      <w:r w:rsidRPr="002B16ED">
        <w:rPr>
          <w:rFonts w:eastAsia="Times New Roman"/>
          <w:color w:val="000000"/>
          <w:sz w:val="26"/>
          <w:szCs w:val="26"/>
        </w:rPr>
        <w:t>2. </w:t>
      </w:r>
      <w:r w:rsidRPr="002B16ED">
        <w:rPr>
          <w:rFonts w:eastAsia="Times New Roman"/>
          <w:color w:val="000000"/>
          <w:sz w:val="26"/>
          <w:szCs w:val="26"/>
          <w:lang w:val="vi-VN"/>
        </w:rPr>
        <w:t>Nghị định này thay thế Nghị định số </w:t>
      </w:r>
      <w:hyperlink r:id="rId7" w:tgtFrame="_blank" w:tooltip="Nghị định 75/2006/NĐ-CP" w:history="1">
        <w:r w:rsidRPr="002B16ED">
          <w:rPr>
            <w:rFonts w:eastAsia="Times New Roman"/>
            <w:color w:val="0E70C3"/>
            <w:sz w:val="26"/>
            <w:szCs w:val="26"/>
            <w:lang w:val="vi-VN"/>
          </w:rPr>
          <w:t>75/2006/NĐ-CP</w:t>
        </w:r>
      </w:hyperlink>
      <w:r w:rsidRPr="002B16ED">
        <w:rPr>
          <w:rFonts w:eastAsia="Times New Roman"/>
          <w:color w:val="000000"/>
          <w:sz w:val="26"/>
          <w:szCs w:val="26"/>
          <w:lang w:val="vi-VN"/>
        </w:rPr>
        <w:t> ngày 02 tháng 8 năm 2006 của Chính phủ quy định chi tiết và hướng dẫn thi hành một số điều của Luật Giáo dục; Nghị định số </w:t>
      </w:r>
      <w:hyperlink r:id="rId8" w:tgtFrame="_blank" w:tooltip="Nghị định 31/2011/NĐ-CP" w:history="1">
        <w:r w:rsidRPr="002B16ED">
          <w:rPr>
            <w:rFonts w:eastAsia="Times New Roman"/>
            <w:color w:val="0E70C3"/>
            <w:sz w:val="26"/>
            <w:szCs w:val="26"/>
            <w:lang w:val="vi-VN"/>
          </w:rPr>
          <w:t>31/2011/NĐ-CP</w:t>
        </w:r>
      </w:hyperlink>
      <w:r w:rsidRPr="002B16ED">
        <w:rPr>
          <w:rFonts w:eastAsia="Times New Roman"/>
          <w:color w:val="000000"/>
          <w:sz w:val="26"/>
          <w:szCs w:val="26"/>
          <w:lang w:val="vi-VN"/>
        </w:rPr>
        <w:t> ngày 11 tháng 5 năm 2011 của Chính phủ sửa đổi, bổ sung một số điều của Nghị định số </w:t>
      </w:r>
      <w:hyperlink r:id="rId9" w:tgtFrame="_blank" w:tooltip="Nghị định 75/2006/NĐ-CP" w:history="1">
        <w:r w:rsidRPr="002B16ED">
          <w:rPr>
            <w:rFonts w:eastAsia="Times New Roman"/>
            <w:color w:val="0E70C3"/>
            <w:sz w:val="26"/>
            <w:szCs w:val="26"/>
            <w:lang w:val="vi-VN"/>
          </w:rPr>
          <w:t>75/2006/NĐ-CP</w:t>
        </w:r>
      </w:hyperlink>
      <w:r w:rsidRPr="002B16ED">
        <w:rPr>
          <w:rFonts w:eastAsia="Times New Roman"/>
          <w:color w:val="000000"/>
          <w:sz w:val="26"/>
          <w:szCs w:val="26"/>
          <w:lang w:val="vi-VN"/>
        </w:rPr>
        <w:t> ngày 02 tháng 8 năm 2006 của Chính phủ quy định chi tiết và hướng dẫn thi hành một số điều của Luật Giáo dục; Nghị định số </w:t>
      </w:r>
      <w:hyperlink r:id="rId10" w:tgtFrame="_blank" w:tooltip="Nghị định 07/2013/NĐ-CP" w:history="1">
        <w:r w:rsidRPr="002B16ED">
          <w:rPr>
            <w:rFonts w:eastAsia="Times New Roman"/>
            <w:color w:val="0E70C3"/>
            <w:sz w:val="26"/>
            <w:szCs w:val="26"/>
            <w:lang w:val="vi-VN"/>
          </w:rPr>
          <w:t>07/2013/NĐ-CP</w:t>
        </w:r>
      </w:hyperlink>
      <w:r w:rsidRPr="002B16ED">
        <w:rPr>
          <w:rFonts w:eastAsia="Times New Roman"/>
          <w:color w:val="000000"/>
          <w:sz w:val="26"/>
          <w:szCs w:val="26"/>
          <w:lang w:val="vi-VN"/>
        </w:rPr>
        <w:t> ngày 09 tháng 01 năm 2013 của Chính phủ sửa đổi điểm b khoản 13 Điều 1 của Nghị định số </w:t>
      </w:r>
      <w:hyperlink r:id="rId11" w:tgtFrame="_blank" w:tooltip="Nghị định 31/2011/NĐ-CP" w:history="1">
        <w:r w:rsidRPr="002B16ED">
          <w:rPr>
            <w:rFonts w:eastAsia="Times New Roman"/>
            <w:color w:val="0E70C3"/>
            <w:sz w:val="26"/>
            <w:szCs w:val="26"/>
            <w:lang w:val="vi-VN"/>
          </w:rPr>
          <w:t>31/2011/NĐ-CP</w:t>
        </w:r>
      </w:hyperlink>
      <w:r w:rsidRPr="002B16ED">
        <w:rPr>
          <w:rFonts w:eastAsia="Times New Roman"/>
          <w:color w:val="000000"/>
          <w:sz w:val="26"/>
          <w:szCs w:val="26"/>
          <w:lang w:val="vi-VN"/>
        </w:rPr>
        <w:t> ngày 11 tháng 5 năm 2011 sửa đổi, bổ sung một số điều của Nghị định số </w:t>
      </w:r>
      <w:hyperlink r:id="rId12" w:tgtFrame="_blank" w:tooltip="Nghị định 75/2006/NĐ-CP" w:history="1">
        <w:r w:rsidRPr="002B16ED">
          <w:rPr>
            <w:rFonts w:eastAsia="Times New Roman"/>
            <w:color w:val="0E70C3"/>
            <w:sz w:val="26"/>
            <w:szCs w:val="26"/>
            <w:lang w:val="vi-VN"/>
          </w:rPr>
          <w:t>75/2006/NĐ-CP</w:t>
        </w:r>
      </w:hyperlink>
      <w:r w:rsidRPr="002B16ED">
        <w:rPr>
          <w:rFonts w:eastAsia="Times New Roman"/>
          <w:color w:val="000000"/>
          <w:sz w:val="26"/>
          <w:szCs w:val="26"/>
          <w:lang w:val="vi-VN"/>
        </w:rPr>
        <w:t> ngày 02 tháng 8 năm 2006 của Chính phủ quy định chi tiết và hướng dẫn thi hành một số điều của Luật Giáo dục.</w:t>
      </w:r>
    </w:p>
    <w:p w:rsidR="00AD2DAB" w:rsidRPr="00890EE1" w:rsidRDefault="00AD2DAB" w:rsidP="00AD2DAB">
      <w:pPr>
        <w:shd w:val="clear" w:color="auto" w:fill="FFFFFF"/>
        <w:spacing w:line="234" w:lineRule="atLeast"/>
        <w:rPr>
          <w:rFonts w:eastAsia="Times New Roman"/>
          <w:color w:val="000000"/>
          <w:sz w:val="26"/>
          <w:szCs w:val="26"/>
          <w:highlight w:val="yellow"/>
        </w:rPr>
      </w:pPr>
      <w:r w:rsidRPr="00890EE1">
        <w:rPr>
          <w:rFonts w:eastAsia="Times New Roman"/>
          <w:color w:val="000000"/>
          <w:sz w:val="26"/>
          <w:szCs w:val="26"/>
          <w:highlight w:val="yellow"/>
        </w:rPr>
        <w:t>3. </w:t>
      </w:r>
      <w:r w:rsidRPr="00890EE1">
        <w:rPr>
          <w:rFonts w:eastAsia="Times New Roman"/>
          <w:color w:val="000000"/>
          <w:sz w:val="26"/>
          <w:szCs w:val="26"/>
          <w:highlight w:val="yellow"/>
          <w:lang w:val="vi-VN"/>
        </w:rPr>
        <w:t>Bãi bỏ Quyết định số </w:t>
      </w:r>
      <w:hyperlink r:id="rId13" w:tgtFrame="_blank" w:tooltip="Quyết định 152/2007/QĐ-TTg" w:history="1">
        <w:r w:rsidRPr="00890EE1">
          <w:rPr>
            <w:rFonts w:eastAsia="Times New Roman"/>
            <w:color w:val="0E70C3"/>
            <w:sz w:val="26"/>
            <w:szCs w:val="26"/>
            <w:highlight w:val="yellow"/>
            <w:lang w:val="vi-VN"/>
          </w:rPr>
          <w:t>152/2007/QĐ-TTg</w:t>
        </w:r>
      </w:hyperlink>
      <w:r w:rsidRPr="00890EE1">
        <w:rPr>
          <w:rFonts w:eastAsia="Times New Roman"/>
          <w:color w:val="000000"/>
          <w:sz w:val="26"/>
          <w:szCs w:val="26"/>
          <w:highlight w:val="yellow"/>
          <w:lang w:val="vi-VN"/>
        </w:rPr>
        <w:t> ngày 14 tháng 9 năm 2007 của Thủ tướng Chính phủ về học bổng chính sách đối với học sinh, sinh viên học tại các cơ sở giáo dục thuộc hệ thống giáo dục quốc dân.</w:t>
      </w:r>
    </w:p>
    <w:p w:rsidR="00AD2DAB" w:rsidRPr="00AD2DAB" w:rsidRDefault="00AD2DAB" w:rsidP="00AD2DAB">
      <w:pPr>
        <w:shd w:val="clear" w:color="auto" w:fill="FFFFFF"/>
        <w:spacing w:line="234" w:lineRule="atLeast"/>
        <w:rPr>
          <w:rFonts w:eastAsia="Times New Roman"/>
          <w:color w:val="000000"/>
          <w:sz w:val="26"/>
          <w:szCs w:val="26"/>
        </w:rPr>
      </w:pPr>
      <w:r w:rsidRPr="00890EE1">
        <w:rPr>
          <w:rFonts w:eastAsia="Times New Roman"/>
          <w:color w:val="000000"/>
          <w:sz w:val="26"/>
          <w:szCs w:val="26"/>
          <w:highlight w:val="yellow"/>
          <w:lang w:val="vi-VN"/>
        </w:rPr>
        <w:t>Bãi bỏ các quy định về học bổng khuyến khích học tập và học bổng chính sách tại: Quyết định số </w:t>
      </w:r>
      <w:hyperlink r:id="rId14" w:tgtFrame="_blank" w:tooltip="Quyết định 1121/1997/QĐ-TTg" w:history="1">
        <w:r w:rsidRPr="00890EE1">
          <w:rPr>
            <w:rFonts w:eastAsia="Times New Roman"/>
            <w:color w:val="0E70C3"/>
            <w:sz w:val="26"/>
            <w:szCs w:val="26"/>
            <w:highlight w:val="yellow"/>
            <w:lang w:val="vi-VN"/>
          </w:rPr>
          <w:t>1121/1997/QĐ-TTg</w:t>
        </w:r>
      </w:hyperlink>
      <w:r w:rsidRPr="00890EE1">
        <w:rPr>
          <w:rFonts w:eastAsia="Times New Roman"/>
          <w:color w:val="000000"/>
          <w:sz w:val="26"/>
          <w:szCs w:val="26"/>
          <w:highlight w:val="yellow"/>
          <w:lang w:val="vi-VN"/>
        </w:rPr>
        <w:t> ngày 23 tháng 12 năm 1997 của Thủ tướng Chính phủ về học bổng và trợ cấp xã hội đối với học sinh, sinh viên các trường đào tạo công lập; Quyết định số </w:t>
      </w:r>
      <w:hyperlink r:id="rId15" w:tgtFrame="_blank" w:tooltip="Quyết định 239/1999/QĐ-TTg" w:history="1">
        <w:r w:rsidRPr="00890EE1">
          <w:rPr>
            <w:rFonts w:eastAsia="Times New Roman"/>
            <w:color w:val="0E70C3"/>
            <w:sz w:val="26"/>
            <w:szCs w:val="26"/>
            <w:highlight w:val="yellow"/>
            <w:lang w:val="vi-VN"/>
          </w:rPr>
          <w:t>239/1999/QĐ-TTg</w:t>
        </w:r>
      </w:hyperlink>
      <w:r w:rsidRPr="00890EE1">
        <w:rPr>
          <w:rFonts w:eastAsia="Times New Roman"/>
          <w:color w:val="000000"/>
          <w:sz w:val="26"/>
          <w:szCs w:val="26"/>
          <w:highlight w:val="yellow"/>
          <w:lang w:val="vi-VN"/>
        </w:rPr>
        <w:t> ngày 28 tháng 12 năm 1999 của Thủ tướng Chính phủ bổ sung, sửa đổi khoản a Điều 1 của Quyết định số </w:t>
      </w:r>
      <w:hyperlink r:id="rId16" w:tgtFrame="_blank" w:tooltip="Quyết định 1121/1997/QĐ-TTg" w:history="1">
        <w:r w:rsidRPr="00890EE1">
          <w:rPr>
            <w:rFonts w:eastAsia="Times New Roman"/>
            <w:color w:val="0E70C3"/>
            <w:sz w:val="26"/>
            <w:szCs w:val="26"/>
            <w:highlight w:val="yellow"/>
            <w:lang w:val="vi-VN"/>
          </w:rPr>
          <w:t>1121/1997/QĐ-TTg</w:t>
        </w:r>
      </w:hyperlink>
      <w:r w:rsidRPr="00890EE1">
        <w:rPr>
          <w:rFonts w:eastAsia="Times New Roman"/>
          <w:color w:val="000000"/>
          <w:sz w:val="26"/>
          <w:szCs w:val="26"/>
          <w:highlight w:val="yellow"/>
          <w:lang w:val="vi-VN"/>
        </w:rPr>
        <w:t> ngày 23 tháng 12 năm 1997 của Thủ tướng Chính phủ về học bổng và trợ cấp xã hội đối với học sinh, sinh viên các trường đào tạo công lập; Quyết định số </w:t>
      </w:r>
      <w:hyperlink r:id="rId17" w:tgtFrame="_blank" w:tooltip="Quyết định 194/2001/QĐ-TTg" w:history="1">
        <w:r w:rsidRPr="00890EE1">
          <w:rPr>
            <w:rFonts w:eastAsia="Times New Roman"/>
            <w:color w:val="0E70C3"/>
            <w:sz w:val="26"/>
            <w:szCs w:val="26"/>
            <w:highlight w:val="yellow"/>
            <w:lang w:val="vi-VN"/>
          </w:rPr>
          <w:t>194/2001/QĐ-TTg</w:t>
        </w:r>
      </w:hyperlink>
      <w:r w:rsidRPr="00890EE1">
        <w:rPr>
          <w:rFonts w:eastAsia="Times New Roman"/>
          <w:color w:val="000000"/>
          <w:sz w:val="26"/>
          <w:szCs w:val="26"/>
          <w:highlight w:val="yellow"/>
          <w:lang w:val="vi-VN"/>
        </w:rPr>
        <w:t> ngày 21 tháng 12 năm 2001 của Thủ tướng Chính phủ về điều chỉnh mức học bổng chính sách và trợ cấp xã hội đối với học sinh, sinh viên là người dân tộc thiểu số học tại các trường đào tạo công lập quy định tại Quyết định số </w:t>
      </w:r>
      <w:hyperlink r:id="rId18" w:tgtFrame="_blank" w:tooltip="Quyết định 1121/1997/QĐ-TTg" w:history="1">
        <w:r w:rsidRPr="00890EE1">
          <w:rPr>
            <w:rFonts w:eastAsia="Times New Roman"/>
            <w:color w:val="0E70C3"/>
            <w:sz w:val="26"/>
            <w:szCs w:val="26"/>
            <w:highlight w:val="yellow"/>
            <w:lang w:val="vi-VN"/>
          </w:rPr>
          <w:t>1121/1997/QĐ-TTg</w:t>
        </w:r>
      </w:hyperlink>
      <w:r w:rsidRPr="00890EE1">
        <w:rPr>
          <w:rFonts w:eastAsia="Times New Roman"/>
          <w:color w:val="000000"/>
          <w:sz w:val="26"/>
          <w:szCs w:val="26"/>
          <w:highlight w:val="yellow"/>
          <w:lang w:val="vi-VN"/>
        </w:rPr>
        <w:t> ngày 23 tháng 12 năm 1997 của Thủ tướng Chính phủ; Quyết định số </w:t>
      </w:r>
      <w:hyperlink r:id="rId19" w:tgtFrame="_blank" w:tooltip="Quyết định 82/2006/QĐ-TTg" w:history="1">
        <w:r w:rsidRPr="00890EE1">
          <w:rPr>
            <w:rFonts w:eastAsia="Times New Roman"/>
            <w:color w:val="0E70C3"/>
            <w:sz w:val="26"/>
            <w:szCs w:val="26"/>
            <w:highlight w:val="yellow"/>
            <w:lang w:val="vi-VN"/>
          </w:rPr>
          <w:t>82/2006/QĐ-TTg</w:t>
        </w:r>
      </w:hyperlink>
      <w:r w:rsidRPr="00890EE1">
        <w:rPr>
          <w:rFonts w:eastAsia="Times New Roman"/>
          <w:color w:val="000000"/>
          <w:sz w:val="26"/>
          <w:szCs w:val="26"/>
          <w:highlight w:val="yellow"/>
          <w:lang w:val="vi-VN"/>
        </w:rPr>
        <w:t> ngày 14 tháng 4 năm 2006 của Thủ tướng Chính phủ về việc điều chỉnh mức học bổng chính sách đối với học sinh, sinh viên là người dân tộc thiểu số học tại các trường phổ thông dân tộc nội trú và trường dự bị đại học quy định tại Quyết định số </w:t>
      </w:r>
      <w:hyperlink r:id="rId20" w:tgtFrame="_blank" w:tooltip="Quyết định 194/2001/QĐ-TTg" w:history="1">
        <w:r w:rsidRPr="00890EE1">
          <w:rPr>
            <w:rFonts w:eastAsia="Times New Roman"/>
            <w:color w:val="0E70C3"/>
            <w:sz w:val="26"/>
            <w:szCs w:val="26"/>
            <w:highlight w:val="yellow"/>
            <w:lang w:val="vi-VN"/>
          </w:rPr>
          <w:t>194/2001/QĐ-TTg</w:t>
        </w:r>
      </w:hyperlink>
      <w:r w:rsidRPr="00890EE1">
        <w:rPr>
          <w:rFonts w:eastAsia="Times New Roman"/>
          <w:color w:val="000000"/>
          <w:sz w:val="26"/>
          <w:szCs w:val="26"/>
          <w:highlight w:val="yellow"/>
          <w:lang w:val="vi-VN"/>
        </w:rPr>
        <w:t> ngày 21 tháng 12 năm 2001 của Thủ tướng Chính phủ.</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b/>
          <w:bCs/>
          <w:color w:val="000000"/>
          <w:sz w:val="26"/>
          <w:szCs w:val="26"/>
          <w:lang w:val="vi-VN"/>
        </w:rPr>
        <w:t>Điều 12. Trách nhiệm thi hành</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Các Bộ trưởng, Thủ trưởng cơ quan ngang bộ, Thủ trưởng cơ quan thuộc Chính phủ, Chủ tịch Ủy ban nhân dân các tỉnh, thành phố trực thuộc trung ương và các cơ quan liên quan chịu trách nhiệm thi hành Nghị định này./.</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88"/>
        <w:gridCol w:w="4068"/>
      </w:tblGrid>
      <w:tr w:rsidR="00AD2DAB" w:rsidRPr="00AD2DAB" w:rsidTr="00AD2DAB">
        <w:trPr>
          <w:tblCellSpacing w:w="0" w:type="dxa"/>
        </w:trPr>
        <w:tc>
          <w:tcPr>
            <w:tcW w:w="4788" w:type="dxa"/>
            <w:shd w:val="clear" w:color="auto" w:fill="FFFFFF"/>
            <w:tcMar>
              <w:top w:w="0" w:type="dxa"/>
              <w:left w:w="108" w:type="dxa"/>
              <w:bottom w:w="0" w:type="dxa"/>
              <w:right w:w="108" w:type="dxa"/>
            </w:tcMar>
            <w:hideMark/>
          </w:tcPr>
          <w:p w:rsidR="00AD2DAB" w:rsidRPr="00AD2DAB" w:rsidRDefault="00AD2DAB" w:rsidP="00AD2DAB">
            <w:pPr>
              <w:spacing w:before="120" w:after="120" w:line="234" w:lineRule="atLeast"/>
              <w:rPr>
                <w:rFonts w:eastAsia="Times New Roman"/>
                <w:color w:val="000000"/>
                <w:sz w:val="26"/>
                <w:szCs w:val="26"/>
              </w:rPr>
            </w:pPr>
            <w:r w:rsidRPr="00AD2DAB">
              <w:rPr>
                <w:rFonts w:eastAsia="Times New Roman"/>
                <w:b/>
                <w:bCs/>
                <w:i/>
                <w:iCs/>
                <w:color w:val="000000"/>
                <w:sz w:val="26"/>
                <w:szCs w:val="26"/>
              </w:rPr>
              <w:t> </w:t>
            </w:r>
          </w:p>
          <w:p w:rsidR="00AD2DAB" w:rsidRPr="00AD2DAB" w:rsidRDefault="00AD2DAB" w:rsidP="00AD2DAB">
            <w:pPr>
              <w:spacing w:before="120" w:after="120" w:line="234" w:lineRule="atLeast"/>
              <w:rPr>
                <w:rFonts w:eastAsia="Times New Roman"/>
                <w:color w:val="000000"/>
                <w:sz w:val="26"/>
                <w:szCs w:val="26"/>
              </w:rPr>
            </w:pPr>
            <w:r w:rsidRPr="00AD2DAB">
              <w:rPr>
                <w:rFonts w:eastAsia="Times New Roman"/>
                <w:b/>
                <w:bCs/>
                <w:i/>
                <w:iCs/>
                <w:color w:val="000000"/>
                <w:sz w:val="26"/>
                <w:szCs w:val="26"/>
                <w:lang w:val="vi-VN"/>
              </w:rPr>
              <w:t>Nơi nhận:</w:t>
            </w:r>
            <w:r w:rsidRPr="00AD2DAB">
              <w:rPr>
                <w:rFonts w:eastAsia="Times New Roman"/>
                <w:b/>
                <w:bCs/>
                <w:i/>
                <w:iCs/>
                <w:color w:val="000000"/>
                <w:sz w:val="26"/>
                <w:szCs w:val="26"/>
              </w:rPr>
              <w:br/>
            </w:r>
            <w:r w:rsidRPr="00AD2DAB">
              <w:rPr>
                <w:rFonts w:eastAsia="Times New Roman"/>
                <w:color w:val="000000"/>
                <w:sz w:val="26"/>
                <w:szCs w:val="26"/>
              </w:rPr>
              <w:t>- </w:t>
            </w:r>
            <w:r w:rsidRPr="00AD2DAB">
              <w:rPr>
                <w:rFonts w:eastAsia="Times New Roman"/>
                <w:color w:val="000000"/>
                <w:sz w:val="26"/>
                <w:szCs w:val="26"/>
                <w:lang w:val="vi-VN"/>
              </w:rPr>
              <w:t>Ban Bí thư Trung ương Đảng;</w:t>
            </w:r>
            <w:r w:rsidRPr="00AD2DAB">
              <w:rPr>
                <w:rFonts w:eastAsia="Times New Roman"/>
                <w:color w:val="000000"/>
                <w:sz w:val="26"/>
                <w:szCs w:val="26"/>
                <w:lang w:val="vi-VN"/>
              </w:rPr>
              <w:br/>
            </w:r>
            <w:r w:rsidRPr="00AD2DAB">
              <w:rPr>
                <w:rFonts w:eastAsia="Times New Roman"/>
                <w:color w:val="000000"/>
                <w:sz w:val="26"/>
                <w:szCs w:val="26"/>
              </w:rPr>
              <w:t>- </w:t>
            </w:r>
            <w:r w:rsidRPr="00AD2DAB">
              <w:rPr>
                <w:rFonts w:eastAsia="Times New Roman"/>
                <w:color w:val="000000"/>
                <w:sz w:val="26"/>
                <w:szCs w:val="26"/>
                <w:lang w:val="vi-VN"/>
              </w:rPr>
              <w:t>Thủ tướng, các Phó Thủ tướng Chính phủ;</w:t>
            </w:r>
            <w:r w:rsidRPr="00AD2DAB">
              <w:rPr>
                <w:rFonts w:eastAsia="Times New Roman"/>
                <w:color w:val="000000"/>
                <w:sz w:val="26"/>
                <w:szCs w:val="26"/>
                <w:lang w:val="vi-VN"/>
              </w:rPr>
              <w:br/>
            </w:r>
            <w:r w:rsidRPr="00AD2DAB">
              <w:rPr>
                <w:rFonts w:eastAsia="Times New Roman"/>
                <w:color w:val="000000"/>
                <w:sz w:val="26"/>
                <w:szCs w:val="26"/>
              </w:rPr>
              <w:lastRenderedPageBreak/>
              <w:t>- </w:t>
            </w:r>
            <w:r w:rsidRPr="00AD2DAB">
              <w:rPr>
                <w:rFonts w:eastAsia="Times New Roman"/>
                <w:color w:val="000000"/>
                <w:sz w:val="26"/>
                <w:szCs w:val="26"/>
                <w:lang w:val="vi-VN"/>
              </w:rPr>
              <w:t>Các bộ, cơ quan ngang bộ, cơ quan thuộc Chính phủ;</w:t>
            </w:r>
            <w:r w:rsidRPr="00AD2DAB">
              <w:rPr>
                <w:rFonts w:eastAsia="Times New Roman"/>
                <w:color w:val="000000"/>
                <w:sz w:val="26"/>
                <w:szCs w:val="26"/>
                <w:lang w:val="vi-VN"/>
              </w:rPr>
              <w:br/>
            </w:r>
            <w:r w:rsidRPr="00AD2DAB">
              <w:rPr>
                <w:rFonts w:eastAsia="Times New Roman"/>
                <w:color w:val="000000"/>
                <w:sz w:val="26"/>
                <w:szCs w:val="26"/>
              </w:rPr>
              <w:t>- </w:t>
            </w:r>
            <w:r w:rsidRPr="00AD2DAB">
              <w:rPr>
                <w:rFonts w:eastAsia="Times New Roman"/>
                <w:color w:val="000000"/>
                <w:sz w:val="26"/>
                <w:szCs w:val="26"/>
                <w:lang w:val="vi-VN"/>
              </w:rPr>
              <w:t>HĐND, UBND các tỉnh, thành phố trực thuộc trung ương;</w:t>
            </w:r>
            <w:r w:rsidRPr="00AD2DAB">
              <w:rPr>
                <w:rFonts w:eastAsia="Times New Roman"/>
                <w:color w:val="000000"/>
                <w:sz w:val="26"/>
                <w:szCs w:val="26"/>
                <w:lang w:val="vi-VN"/>
              </w:rPr>
              <w:br/>
              <w:t>- Văn phòng Trung ương và các Ban của Đ</w:t>
            </w:r>
            <w:r w:rsidRPr="00AD2DAB">
              <w:rPr>
                <w:rFonts w:eastAsia="Times New Roman"/>
                <w:color w:val="000000"/>
                <w:sz w:val="26"/>
                <w:szCs w:val="26"/>
              </w:rPr>
              <w:t>ả</w:t>
            </w:r>
            <w:r w:rsidRPr="00AD2DAB">
              <w:rPr>
                <w:rFonts w:eastAsia="Times New Roman"/>
                <w:color w:val="000000"/>
                <w:sz w:val="26"/>
                <w:szCs w:val="26"/>
                <w:lang w:val="vi-VN"/>
              </w:rPr>
              <w:t>ng;</w:t>
            </w:r>
            <w:r w:rsidRPr="00AD2DAB">
              <w:rPr>
                <w:rFonts w:eastAsia="Times New Roman"/>
                <w:color w:val="000000"/>
                <w:sz w:val="26"/>
                <w:szCs w:val="26"/>
                <w:lang w:val="vi-VN"/>
              </w:rPr>
              <w:br/>
            </w:r>
            <w:r w:rsidRPr="00AD2DAB">
              <w:rPr>
                <w:rFonts w:eastAsia="Times New Roman"/>
                <w:color w:val="000000"/>
                <w:sz w:val="26"/>
                <w:szCs w:val="26"/>
              </w:rPr>
              <w:t>- </w:t>
            </w:r>
            <w:r w:rsidRPr="00AD2DAB">
              <w:rPr>
                <w:rFonts w:eastAsia="Times New Roman"/>
                <w:color w:val="000000"/>
                <w:sz w:val="26"/>
                <w:szCs w:val="26"/>
                <w:lang w:val="vi-VN"/>
              </w:rPr>
              <w:t>Văn phòng Tổng Bí thư;</w:t>
            </w:r>
            <w:r w:rsidRPr="00AD2DAB">
              <w:rPr>
                <w:rFonts w:eastAsia="Times New Roman"/>
                <w:color w:val="000000"/>
                <w:sz w:val="26"/>
                <w:szCs w:val="26"/>
                <w:lang w:val="vi-VN"/>
              </w:rPr>
              <w:br/>
            </w:r>
            <w:r w:rsidRPr="00AD2DAB">
              <w:rPr>
                <w:rFonts w:eastAsia="Times New Roman"/>
                <w:color w:val="000000"/>
                <w:sz w:val="26"/>
                <w:szCs w:val="26"/>
              </w:rPr>
              <w:t>- </w:t>
            </w:r>
            <w:r w:rsidRPr="00AD2DAB">
              <w:rPr>
                <w:rFonts w:eastAsia="Times New Roman"/>
                <w:color w:val="000000"/>
                <w:sz w:val="26"/>
                <w:szCs w:val="26"/>
                <w:lang w:val="vi-VN"/>
              </w:rPr>
              <w:t>Văn phòng Chủ tịch nước;</w:t>
            </w:r>
            <w:r w:rsidRPr="00AD2DAB">
              <w:rPr>
                <w:rFonts w:eastAsia="Times New Roman"/>
                <w:color w:val="000000"/>
                <w:sz w:val="26"/>
                <w:szCs w:val="26"/>
                <w:lang w:val="vi-VN"/>
              </w:rPr>
              <w:br/>
            </w:r>
            <w:r w:rsidRPr="00AD2DAB">
              <w:rPr>
                <w:rFonts w:eastAsia="Times New Roman"/>
                <w:color w:val="000000"/>
                <w:sz w:val="26"/>
                <w:szCs w:val="26"/>
              </w:rPr>
              <w:t>- </w:t>
            </w:r>
            <w:r w:rsidRPr="00AD2DAB">
              <w:rPr>
                <w:rFonts w:eastAsia="Times New Roman"/>
                <w:color w:val="000000"/>
                <w:sz w:val="26"/>
                <w:szCs w:val="26"/>
                <w:lang w:val="vi-VN"/>
              </w:rPr>
              <w:t>Hội đồng Dân tộc và các Ủy ban của Quốc hội;</w:t>
            </w:r>
            <w:r w:rsidRPr="00AD2DAB">
              <w:rPr>
                <w:rFonts w:eastAsia="Times New Roman"/>
                <w:color w:val="000000"/>
                <w:sz w:val="26"/>
                <w:szCs w:val="26"/>
                <w:lang w:val="vi-VN"/>
              </w:rPr>
              <w:br/>
            </w:r>
            <w:r w:rsidRPr="00AD2DAB">
              <w:rPr>
                <w:rFonts w:eastAsia="Times New Roman"/>
                <w:color w:val="000000"/>
                <w:sz w:val="26"/>
                <w:szCs w:val="26"/>
              </w:rPr>
              <w:t>- </w:t>
            </w:r>
            <w:r w:rsidRPr="00AD2DAB">
              <w:rPr>
                <w:rFonts w:eastAsia="Times New Roman"/>
                <w:color w:val="000000"/>
                <w:sz w:val="26"/>
                <w:szCs w:val="26"/>
                <w:lang w:val="vi-VN"/>
              </w:rPr>
              <w:t>Văn phòng Quốc hội;</w:t>
            </w:r>
            <w:r w:rsidRPr="00AD2DAB">
              <w:rPr>
                <w:rFonts w:eastAsia="Times New Roman"/>
                <w:color w:val="000000"/>
                <w:sz w:val="26"/>
                <w:szCs w:val="26"/>
                <w:lang w:val="vi-VN"/>
              </w:rPr>
              <w:br/>
            </w:r>
            <w:r w:rsidRPr="00AD2DAB">
              <w:rPr>
                <w:rFonts w:eastAsia="Times New Roman"/>
                <w:color w:val="000000"/>
                <w:sz w:val="26"/>
                <w:szCs w:val="26"/>
              </w:rPr>
              <w:t>- </w:t>
            </w:r>
            <w:r w:rsidRPr="00AD2DAB">
              <w:rPr>
                <w:rFonts w:eastAsia="Times New Roman"/>
                <w:color w:val="000000"/>
                <w:sz w:val="26"/>
                <w:szCs w:val="26"/>
                <w:lang w:val="vi-VN"/>
              </w:rPr>
              <w:t>Tòa án nhân dân tối cao;</w:t>
            </w:r>
            <w:r w:rsidRPr="00AD2DAB">
              <w:rPr>
                <w:rFonts w:eastAsia="Times New Roman"/>
                <w:color w:val="000000"/>
                <w:sz w:val="26"/>
                <w:szCs w:val="26"/>
                <w:lang w:val="vi-VN"/>
              </w:rPr>
              <w:br/>
            </w:r>
            <w:r w:rsidRPr="00AD2DAB">
              <w:rPr>
                <w:rFonts w:eastAsia="Times New Roman"/>
                <w:color w:val="000000"/>
                <w:sz w:val="26"/>
                <w:szCs w:val="26"/>
              </w:rPr>
              <w:t>- </w:t>
            </w:r>
            <w:r w:rsidRPr="00AD2DAB">
              <w:rPr>
                <w:rFonts w:eastAsia="Times New Roman"/>
                <w:color w:val="000000"/>
                <w:sz w:val="26"/>
                <w:szCs w:val="26"/>
                <w:lang w:val="vi-VN"/>
              </w:rPr>
              <w:t>Viện kiểm sát nhân dân tối cao;</w:t>
            </w:r>
            <w:r w:rsidRPr="00AD2DAB">
              <w:rPr>
                <w:rFonts w:eastAsia="Times New Roman"/>
                <w:color w:val="000000"/>
                <w:sz w:val="26"/>
                <w:szCs w:val="26"/>
                <w:lang w:val="vi-VN"/>
              </w:rPr>
              <w:br/>
            </w:r>
            <w:r w:rsidRPr="00AD2DAB">
              <w:rPr>
                <w:rFonts w:eastAsia="Times New Roman"/>
                <w:color w:val="000000"/>
                <w:sz w:val="26"/>
                <w:szCs w:val="26"/>
              </w:rPr>
              <w:t>- </w:t>
            </w:r>
            <w:r w:rsidRPr="00AD2DAB">
              <w:rPr>
                <w:rFonts w:eastAsia="Times New Roman"/>
                <w:color w:val="000000"/>
                <w:sz w:val="26"/>
                <w:szCs w:val="26"/>
                <w:lang w:val="vi-VN"/>
              </w:rPr>
              <w:t>Ủy ban Giám sát tài chính Quốc gia;</w:t>
            </w:r>
            <w:r w:rsidRPr="00AD2DAB">
              <w:rPr>
                <w:rFonts w:eastAsia="Times New Roman"/>
                <w:color w:val="000000"/>
                <w:sz w:val="26"/>
                <w:szCs w:val="26"/>
                <w:lang w:val="vi-VN"/>
              </w:rPr>
              <w:br/>
            </w:r>
            <w:r w:rsidRPr="00AD2DAB">
              <w:rPr>
                <w:rFonts w:eastAsia="Times New Roman"/>
                <w:color w:val="000000"/>
                <w:sz w:val="26"/>
                <w:szCs w:val="26"/>
              </w:rPr>
              <w:t>- </w:t>
            </w:r>
            <w:r w:rsidRPr="00AD2DAB">
              <w:rPr>
                <w:rFonts w:eastAsia="Times New Roman"/>
                <w:color w:val="000000"/>
                <w:sz w:val="26"/>
                <w:szCs w:val="26"/>
                <w:lang w:val="vi-VN"/>
              </w:rPr>
              <w:t>Kiểm toán Nhà nước;</w:t>
            </w:r>
            <w:r w:rsidRPr="00AD2DAB">
              <w:rPr>
                <w:rFonts w:eastAsia="Times New Roman"/>
                <w:color w:val="000000"/>
                <w:sz w:val="26"/>
                <w:szCs w:val="26"/>
                <w:lang w:val="vi-VN"/>
              </w:rPr>
              <w:br/>
            </w:r>
            <w:r w:rsidRPr="00AD2DAB">
              <w:rPr>
                <w:rFonts w:eastAsia="Times New Roman"/>
                <w:color w:val="000000"/>
                <w:sz w:val="26"/>
                <w:szCs w:val="26"/>
              </w:rPr>
              <w:t>- </w:t>
            </w:r>
            <w:r w:rsidRPr="00AD2DAB">
              <w:rPr>
                <w:rFonts w:eastAsia="Times New Roman"/>
                <w:color w:val="000000"/>
                <w:sz w:val="26"/>
                <w:szCs w:val="26"/>
                <w:lang w:val="vi-VN"/>
              </w:rPr>
              <w:t>Ngân hàng Chính sách xã hội;</w:t>
            </w:r>
            <w:r w:rsidRPr="00AD2DAB">
              <w:rPr>
                <w:rFonts w:eastAsia="Times New Roman"/>
                <w:color w:val="000000"/>
                <w:sz w:val="26"/>
                <w:szCs w:val="26"/>
                <w:lang w:val="vi-VN"/>
              </w:rPr>
              <w:br/>
            </w:r>
            <w:r w:rsidRPr="00AD2DAB">
              <w:rPr>
                <w:rFonts w:eastAsia="Times New Roman"/>
                <w:color w:val="000000"/>
                <w:sz w:val="26"/>
                <w:szCs w:val="26"/>
              </w:rPr>
              <w:t>- </w:t>
            </w:r>
            <w:r w:rsidRPr="00AD2DAB">
              <w:rPr>
                <w:rFonts w:eastAsia="Times New Roman"/>
                <w:color w:val="000000"/>
                <w:sz w:val="26"/>
                <w:szCs w:val="26"/>
                <w:lang w:val="vi-VN"/>
              </w:rPr>
              <w:t>Ngân hàng Phát triển Việt Nam;</w:t>
            </w:r>
            <w:r w:rsidRPr="00AD2DAB">
              <w:rPr>
                <w:rFonts w:eastAsia="Times New Roman"/>
                <w:color w:val="000000"/>
                <w:sz w:val="26"/>
                <w:szCs w:val="26"/>
                <w:lang w:val="vi-VN"/>
              </w:rPr>
              <w:br/>
            </w:r>
            <w:r w:rsidRPr="00AD2DAB">
              <w:rPr>
                <w:rFonts w:eastAsia="Times New Roman"/>
                <w:color w:val="000000"/>
                <w:sz w:val="26"/>
                <w:szCs w:val="26"/>
              </w:rPr>
              <w:t>- </w:t>
            </w:r>
            <w:r w:rsidRPr="00AD2DAB">
              <w:rPr>
                <w:rFonts w:eastAsia="Times New Roman"/>
                <w:color w:val="000000"/>
                <w:sz w:val="26"/>
                <w:szCs w:val="26"/>
                <w:lang w:val="vi-VN"/>
              </w:rPr>
              <w:t>Ủy ban Trung ương Mặt trận Tổ quốc Việt Nam;</w:t>
            </w:r>
            <w:r w:rsidRPr="00AD2DAB">
              <w:rPr>
                <w:rFonts w:eastAsia="Times New Roman"/>
                <w:color w:val="000000"/>
                <w:sz w:val="26"/>
                <w:szCs w:val="26"/>
                <w:lang w:val="vi-VN"/>
              </w:rPr>
              <w:br/>
            </w:r>
            <w:r w:rsidRPr="00AD2DAB">
              <w:rPr>
                <w:rFonts w:eastAsia="Times New Roman"/>
                <w:color w:val="000000"/>
                <w:sz w:val="26"/>
                <w:szCs w:val="26"/>
              </w:rPr>
              <w:t>- </w:t>
            </w:r>
            <w:r w:rsidRPr="00AD2DAB">
              <w:rPr>
                <w:rFonts w:eastAsia="Times New Roman"/>
                <w:color w:val="000000"/>
                <w:sz w:val="26"/>
                <w:szCs w:val="26"/>
                <w:lang w:val="vi-VN"/>
              </w:rPr>
              <w:t>Cơ quan trung ương của các đoàn thể;</w:t>
            </w:r>
            <w:r w:rsidRPr="00AD2DAB">
              <w:rPr>
                <w:rFonts w:eastAsia="Times New Roman"/>
                <w:color w:val="000000"/>
                <w:sz w:val="26"/>
                <w:szCs w:val="26"/>
                <w:lang w:val="vi-VN"/>
              </w:rPr>
              <w:br/>
            </w:r>
            <w:r w:rsidRPr="00AD2DAB">
              <w:rPr>
                <w:rFonts w:eastAsia="Times New Roman"/>
                <w:color w:val="000000"/>
                <w:sz w:val="26"/>
                <w:szCs w:val="26"/>
              </w:rPr>
              <w:t>- </w:t>
            </w:r>
            <w:r w:rsidRPr="00AD2DAB">
              <w:rPr>
                <w:rFonts w:eastAsia="Times New Roman"/>
                <w:color w:val="000000"/>
                <w:sz w:val="26"/>
                <w:szCs w:val="26"/>
                <w:lang w:val="vi-VN"/>
              </w:rPr>
              <w:t>VPCP: </w:t>
            </w:r>
            <w:r w:rsidRPr="00AD2DAB">
              <w:rPr>
                <w:rFonts w:eastAsia="Times New Roman"/>
                <w:color w:val="000000"/>
                <w:sz w:val="26"/>
                <w:szCs w:val="26"/>
              </w:rPr>
              <w:t>BTCN, </w:t>
            </w:r>
            <w:r w:rsidRPr="00AD2DAB">
              <w:rPr>
                <w:rFonts w:eastAsia="Times New Roman"/>
                <w:color w:val="000000"/>
                <w:sz w:val="26"/>
                <w:szCs w:val="26"/>
                <w:lang w:val="vi-VN"/>
              </w:rPr>
              <w:t>các PCN, Trợ lý TTg, TGĐ cổng TTĐT, các Vụ, Cục, đơn vị trực thuộc, Công báo;</w:t>
            </w:r>
            <w:r w:rsidRPr="00AD2DAB">
              <w:rPr>
                <w:rFonts w:eastAsia="Times New Roman"/>
                <w:color w:val="000000"/>
                <w:sz w:val="26"/>
                <w:szCs w:val="26"/>
                <w:lang w:val="vi-VN"/>
              </w:rPr>
              <w:br/>
            </w:r>
            <w:r w:rsidRPr="00AD2DAB">
              <w:rPr>
                <w:rFonts w:eastAsia="Times New Roman"/>
                <w:color w:val="000000"/>
                <w:sz w:val="26"/>
                <w:szCs w:val="26"/>
              </w:rPr>
              <w:t>- </w:t>
            </w:r>
            <w:r w:rsidRPr="00AD2DAB">
              <w:rPr>
                <w:rFonts w:eastAsia="Times New Roman"/>
                <w:color w:val="000000"/>
                <w:sz w:val="26"/>
                <w:szCs w:val="26"/>
                <w:lang w:val="vi-VN"/>
              </w:rPr>
              <w:t>Lưu: VT, KGVX (2b</w:t>
            </w:r>
            <w:r w:rsidRPr="00AD2DAB">
              <w:rPr>
                <w:rFonts w:eastAsia="Times New Roman"/>
                <w:color w:val="000000"/>
                <w:sz w:val="26"/>
                <w:szCs w:val="26"/>
              </w:rPr>
              <w:t>)</w:t>
            </w:r>
          </w:p>
        </w:tc>
        <w:tc>
          <w:tcPr>
            <w:tcW w:w="4068" w:type="dxa"/>
            <w:shd w:val="clear" w:color="auto" w:fill="FFFFFF"/>
            <w:tcMar>
              <w:top w:w="0" w:type="dxa"/>
              <w:left w:w="108" w:type="dxa"/>
              <w:bottom w:w="0" w:type="dxa"/>
              <w:right w:w="108" w:type="dxa"/>
            </w:tcMa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b/>
                <w:bCs/>
                <w:color w:val="000000"/>
                <w:sz w:val="26"/>
                <w:szCs w:val="26"/>
              </w:rPr>
              <w:lastRenderedPageBreak/>
              <w:t>TM. CHÍNH PHỦ</w:t>
            </w:r>
            <w:r w:rsidRPr="00AD2DAB">
              <w:rPr>
                <w:rFonts w:eastAsia="Times New Roman"/>
                <w:b/>
                <w:bCs/>
                <w:color w:val="000000"/>
                <w:sz w:val="26"/>
                <w:szCs w:val="26"/>
              </w:rPr>
              <w:br/>
              <w:t>THỦ TƯỚNG</w:t>
            </w:r>
            <w:r w:rsidRPr="00AD2DAB">
              <w:rPr>
                <w:rFonts w:eastAsia="Times New Roman"/>
                <w:b/>
                <w:bCs/>
                <w:color w:val="000000"/>
                <w:sz w:val="26"/>
                <w:szCs w:val="26"/>
              </w:rPr>
              <w:br/>
            </w:r>
            <w:r w:rsidRPr="00AD2DAB">
              <w:rPr>
                <w:rFonts w:eastAsia="Times New Roman"/>
                <w:b/>
                <w:bCs/>
                <w:color w:val="000000"/>
                <w:sz w:val="26"/>
                <w:szCs w:val="26"/>
              </w:rPr>
              <w:br/>
            </w:r>
            <w:r w:rsidRPr="00AD2DAB">
              <w:rPr>
                <w:rFonts w:eastAsia="Times New Roman"/>
                <w:b/>
                <w:bCs/>
                <w:color w:val="000000"/>
                <w:sz w:val="26"/>
                <w:szCs w:val="26"/>
              </w:rPr>
              <w:br/>
            </w:r>
            <w:r w:rsidRPr="00AD2DAB">
              <w:rPr>
                <w:rFonts w:eastAsia="Times New Roman"/>
                <w:b/>
                <w:bCs/>
                <w:color w:val="000000"/>
                <w:sz w:val="26"/>
                <w:szCs w:val="26"/>
              </w:rPr>
              <w:br/>
            </w:r>
            <w:r w:rsidRPr="00AD2DAB">
              <w:rPr>
                <w:rFonts w:eastAsia="Times New Roman"/>
                <w:b/>
                <w:bCs/>
                <w:color w:val="000000"/>
                <w:sz w:val="26"/>
                <w:szCs w:val="26"/>
              </w:rPr>
              <w:lastRenderedPageBreak/>
              <w:br/>
              <w:t>Nguyễn Xuân Phúc</w:t>
            </w:r>
          </w:p>
        </w:tc>
      </w:tr>
    </w:tbl>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lastRenderedPageBreak/>
        <w:t> </w:t>
      </w:r>
    </w:p>
    <w:p w:rsidR="00AD2DAB" w:rsidRPr="00AD2DAB" w:rsidRDefault="00AD2DAB" w:rsidP="00AD2DAB">
      <w:pPr>
        <w:shd w:val="clear" w:color="auto" w:fill="FFFFFF"/>
        <w:spacing w:before="120" w:after="120" w:line="234" w:lineRule="atLeast"/>
        <w:jc w:val="center"/>
        <w:rPr>
          <w:rFonts w:eastAsia="Times New Roman"/>
          <w:color w:val="000000"/>
          <w:sz w:val="26"/>
          <w:szCs w:val="26"/>
        </w:rPr>
      </w:pPr>
      <w:r w:rsidRPr="00AD2DAB">
        <w:rPr>
          <w:rFonts w:eastAsia="Times New Roman"/>
          <w:b/>
          <w:bCs/>
          <w:color w:val="000000"/>
          <w:sz w:val="26"/>
          <w:szCs w:val="26"/>
        </w:rPr>
        <w:t>Phụ lục</w:t>
      </w:r>
    </w:p>
    <w:p w:rsidR="00AD2DAB" w:rsidRPr="00AD2DAB" w:rsidRDefault="00AD2DAB" w:rsidP="00AD2DAB">
      <w:pPr>
        <w:shd w:val="clear" w:color="auto" w:fill="FFFFFF"/>
        <w:spacing w:before="120" w:after="120" w:line="234" w:lineRule="atLeast"/>
        <w:jc w:val="center"/>
        <w:rPr>
          <w:rFonts w:eastAsia="Times New Roman"/>
          <w:color w:val="000000"/>
          <w:sz w:val="26"/>
          <w:szCs w:val="26"/>
        </w:rPr>
      </w:pPr>
      <w:r w:rsidRPr="00AD2DAB">
        <w:rPr>
          <w:rFonts w:eastAsia="Times New Roman"/>
          <w:i/>
          <w:iCs/>
          <w:color w:val="000000"/>
          <w:sz w:val="26"/>
          <w:szCs w:val="26"/>
        </w:rPr>
        <w:t>(Kèm theo Nghị định số 84/2020/NĐ-CP ngày 17 tháng 7 năm 2020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85"/>
        <w:gridCol w:w="7640"/>
      </w:tblGrid>
      <w:tr w:rsidR="00AD2DAB" w:rsidRPr="00AD2DAB" w:rsidTr="00AD2DAB">
        <w:trPr>
          <w:tblCellSpacing w:w="0" w:type="dxa"/>
        </w:trPr>
        <w:tc>
          <w:tcPr>
            <w:tcW w:w="850" w:type="pct"/>
            <w:tcBorders>
              <w:top w:val="single" w:sz="8" w:space="0" w:color="auto"/>
              <w:left w:val="single" w:sz="8" w:space="0" w:color="auto"/>
              <w:bottom w:val="nil"/>
              <w:right w:val="nil"/>
            </w:tcBorders>
            <w:shd w:val="clear" w:color="auto" w:fill="FFFFFF"/>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Mẫu số 01</w:t>
            </w:r>
          </w:p>
        </w:tc>
        <w:tc>
          <w:tcPr>
            <w:tcW w:w="4100" w:type="pct"/>
            <w:tcBorders>
              <w:top w:val="single" w:sz="8" w:space="0" w:color="auto"/>
              <w:left w:val="single" w:sz="8" w:space="0" w:color="auto"/>
              <w:bottom w:val="nil"/>
              <w:right w:val="single" w:sz="8" w:space="0" w:color="auto"/>
            </w:tcBorders>
            <w:shd w:val="clear" w:color="auto" w:fill="FFFFFF"/>
            <w:vAlign w:val="center"/>
            <w:hideMark/>
          </w:tcPr>
          <w:p w:rsidR="00AD2DAB" w:rsidRPr="00AD2DAB" w:rsidRDefault="00AD2DAB" w:rsidP="00AD2DAB">
            <w:pPr>
              <w:spacing w:before="120" w:after="120" w:line="234" w:lineRule="atLeast"/>
              <w:rPr>
                <w:rFonts w:eastAsia="Times New Roman"/>
                <w:color w:val="000000"/>
                <w:sz w:val="26"/>
                <w:szCs w:val="26"/>
              </w:rPr>
            </w:pPr>
            <w:r w:rsidRPr="00AD2DAB">
              <w:rPr>
                <w:rFonts w:eastAsia="Times New Roman"/>
                <w:color w:val="000000"/>
                <w:sz w:val="26"/>
                <w:szCs w:val="26"/>
                <w:lang w:val="vi-VN"/>
              </w:rPr>
              <w:t>Bản cam kết</w:t>
            </w:r>
          </w:p>
        </w:tc>
      </w:tr>
      <w:tr w:rsidR="00AD2DAB" w:rsidRPr="00AD2DAB" w:rsidTr="00AD2DAB">
        <w:trPr>
          <w:tblCellSpacing w:w="0" w:type="dxa"/>
        </w:trPr>
        <w:tc>
          <w:tcPr>
            <w:tcW w:w="850" w:type="pct"/>
            <w:tcBorders>
              <w:top w:val="single" w:sz="8" w:space="0" w:color="auto"/>
              <w:left w:val="single" w:sz="8" w:space="0" w:color="auto"/>
              <w:bottom w:val="nil"/>
              <w:right w:val="nil"/>
            </w:tcBorders>
            <w:shd w:val="clear" w:color="auto" w:fill="FFFFFF"/>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Mẫu số 02</w:t>
            </w:r>
          </w:p>
        </w:tc>
        <w:tc>
          <w:tcPr>
            <w:tcW w:w="4100" w:type="pct"/>
            <w:tcBorders>
              <w:top w:val="single" w:sz="8" w:space="0" w:color="auto"/>
              <w:left w:val="single" w:sz="8" w:space="0" w:color="auto"/>
              <w:bottom w:val="nil"/>
              <w:right w:val="single" w:sz="8" w:space="0" w:color="auto"/>
            </w:tcBorders>
            <w:shd w:val="clear" w:color="auto" w:fill="FFFFFF"/>
            <w:vAlign w:val="center"/>
            <w:hideMark/>
          </w:tcPr>
          <w:p w:rsidR="00AD2DAB" w:rsidRPr="00AD2DAB" w:rsidRDefault="00AD2DAB" w:rsidP="00AD2DAB">
            <w:pPr>
              <w:spacing w:before="120" w:after="120" w:line="234" w:lineRule="atLeast"/>
              <w:rPr>
                <w:rFonts w:eastAsia="Times New Roman"/>
                <w:color w:val="000000"/>
                <w:sz w:val="26"/>
                <w:szCs w:val="26"/>
              </w:rPr>
            </w:pPr>
            <w:r w:rsidRPr="00AD2DAB">
              <w:rPr>
                <w:rFonts w:eastAsia="Times New Roman"/>
                <w:color w:val="000000"/>
                <w:sz w:val="26"/>
                <w:szCs w:val="26"/>
                <w:lang w:val="vi-VN"/>
              </w:rPr>
              <w:t>Đơn đề nghị cấp học bổng chính sách</w:t>
            </w:r>
          </w:p>
        </w:tc>
      </w:tr>
      <w:tr w:rsidR="00AD2DAB" w:rsidRPr="00AD2DAB" w:rsidTr="00AD2DAB">
        <w:trPr>
          <w:tblCellSpacing w:w="0" w:type="dxa"/>
        </w:trPr>
        <w:tc>
          <w:tcPr>
            <w:tcW w:w="850" w:type="pct"/>
            <w:tcBorders>
              <w:top w:val="single" w:sz="8" w:space="0" w:color="auto"/>
              <w:left w:val="single" w:sz="8" w:space="0" w:color="auto"/>
              <w:bottom w:val="nil"/>
              <w:right w:val="nil"/>
            </w:tcBorders>
            <w:shd w:val="clear" w:color="auto" w:fill="FFFFFF"/>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Mẫu số 03</w:t>
            </w:r>
          </w:p>
        </w:tc>
        <w:tc>
          <w:tcPr>
            <w:tcW w:w="4100" w:type="pct"/>
            <w:tcBorders>
              <w:top w:val="single" w:sz="8" w:space="0" w:color="auto"/>
              <w:left w:val="single" w:sz="8" w:space="0" w:color="auto"/>
              <w:bottom w:val="nil"/>
              <w:right w:val="single" w:sz="8" w:space="0" w:color="auto"/>
            </w:tcBorders>
            <w:shd w:val="clear" w:color="auto" w:fill="FFFFFF"/>
            <w:vAlign w:val="center"/>
            <w:hideMark/>
          </w:tcPr>
          <w:p w:rsidR="00AD2DAB" w:rsidRPr="00AD2DAB" w:rsidRDefault="00AD2DAB" w:rsidP="00AD2DAB">
            <w:pPr>
              <w:spacing w:before="120" w:after="120" w:line="234" w:lineRule="atLeast"/>
              <w:rPr>
                <w:rFonts w:eastAsia="Times New Roman"/>
                <w:color w:val="000000"/>
                <w:sz w:val="26"/>
                <w:szCs w:val="26"/>
              </w:rPr>
            </w:pPr>
            <w:r w:rsidRPr="00AD2DAB">
              <w:rPr>
                <w:rFonts w:eastAsia="Times New Roman"/>
                <w:color w:val="000000"/>
                <w:sz w:val="26"/>
                <w:szCs w:val="26"/>
                <w:lang w:val="vi-VN"/>
              </w:rPr>
              <w:t>Đơn đề nghị cấp học bổng chính sách</w:t>
            </w:r>
          </w:p>
        </w:tc>
      </w:tr>
      <w:tr w:rsidR="00AD2DAB" w:rsidRPr="00AD2DAB" w:rsidTr="00AD2DAB">
        <w:trPr>
          <w:tblCellSpacing w:w="0" w:type="dxa"/>
        </w:trPr>
        <w:tc>
          <w:tcPr>
            <w:tcW w:w="850" w:type="pct"/>
            <w:tcBorders>
              <w:top w:val="single" w:sz="8" w:space="0" w:color="auto"/>
              <w:left w:val="single" w:sz="8" w:space="0" w:color="auto"/>
              <w:bottom w:val="single" w:sz="8" w:space="0" w:color="auto"/>
              <w:right w:val="nil"/>
            </w:tcBorders>
            <w:shd w:val="clear" w:color="auto" w:fill="FFFFFF"/>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Mẫu số 04</w:t>
            </w:r>
          </w:p>
        </w:tc>
        <w:tc>
          <w:tcPr>
            <w:tcW w:w="41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D2DAB" w:rsidRPr="00AD2DAB" w:rsidRDefault="00AD2DAB" w:rsidP="00AD2DAB">
            <w:pPr>
              <w:spacing w:before="120" w:after="120" w:line="234" w:lineRule="atLeast"/>
              <w:rPr>
                <w:rFonts w:eastAsia="Times New Roman"/>
                <w:color w:val="000000"/>
                <w:sz w:val="26"/>
                <w:szCs w:val="26"/>
              </w:rPr>
            </w:pPr>
            <w:r w:rsidRPr="00AD2DAB">
              <w:rPr>
                <w:rFonts w:eastAsia="Times New Roman"/>
                <w:color w:val="000000"/>
                <w:sz w:val="26"/>
                <w:szCs w:val="26"/>
                <w:lang w:val="vi-VN"/>
              </w:rPr>
              <w:t>Dự toán kinh phí thực hiện học bổng chính sách đối với học sinh, sinh viên</w:t>
            </w:r>
          </w:p>
        </w:tc>
      </w:tr>
    </w:tbl>
    <w:p w:rsidR="00AD2DAB" w:rsidRPr="00AD2DAB" w:rsidRDefault="00AD2DAB" w:rsidP="00AD2DAB">
      <w:pPr>
        <w:shd w:val="clear" w:color="auto" w:fill="FFFFFF"/>
        <w:spacing w:before="120" w:after="120" w:line="234" w:lineRule="atLeast"/>
        <w:jc w:val="right"/>
        <w:rPr>
          <w:rFonts w:eastAsia="Times New Roman"/>
          <w:color w:val="000000"/>
          <w:sz w:val="26"/>
          <w:szCs w:val="26"/>
        </w:rPr>
      </w:pPr>
      <w:r w:rsidRPr="00AD2DAB">
        <w:rPr>
          <w:rFonts w:eastAsia="Times New Roman"/>
          <w:b/>
          <w:bCs/>
          <w:color w:val="000000"/>
          <w:sz w:val="26"/>
          <w:szCs w:val="26"/>
        </w:rPr>
        <w:t> </w:t>
      </w:r>
    </w:p>
    <w:p w:rsidR="00AD2DAB" w:rsidRPr="00AD2DAB" w:rsidRDefault="00AD2DAB" w:rsidP="00AD2DAB">
      <w:pPr>
        <w:shd w:val="clear" w:color="auto" w:fill="FFFFFF"/>
        <w:spacing w:before="120" w:after="120" w:line="234" w:lineRule="atLeast"/>
        <w:jc w:val="right"/>
        <w:rPr>
          <w:rFonts w:eastAsia="Times New Roman"/>
          <w:color w:val="000000"/>
          <w:sz w:val="26"/>
          <w:szCs w:val="26"/>
        </w:rPr>
      </w:pPr>
      <w:r w:rsidRPr="00AD2DAB">
        <w:rPr>
          <w:rFonts w:eastAsia="Times New Roman"/>
          <w:b/>
          <w:bCs/>
          <w:color w:val="000000"/>
          <w:sz w:val="26"/>
          <w:szCs w:val="26"/>
          <w:lang w:val="vi-VN"/>
        </w:rPr>
        <w:t>Mẫu số 01</w:t>
      </w:r>
    </w:p>
    <w:p w:rsidR="00AD2DAB" w:rsidRPr="00AD2DAB" w:rsidRDefault="00AD2DAB" w:rsidP="00AD2DAB">
      <w:pPr>
        <w:shd w:val="clear" w:color="auto" w:fill="FFFFFF"/>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CỘNG HÒA XÃ HỘI CHỦ NGHĨA VIỆT NAM</w:t>
      </w:r>
      <w:r w:rsidRPr="00AD2DAB">
        <w:rPr>
          <w:rFonts w:eastAsia="Times New Roman"/>
          <w:color w:val="000000"/>
          <w:sz w:val="26"/>
          <w:szCs w:val="26"/>
          <w:lang w:val="vi-VN"/>
        </w:rPr>
        <w:br/>
      </w:r>
      <w:r w:rsidRPr="00AD2DAB">
        <w:rPr>
          <w:rFonts w:eastAsia="Times New Roman"/>
          <w:b/>
          <w:bCs/>
          <w:color w:val="000000"/>
          <w:sz w:val="26"/>
          <w:szCs w:val="26"/>
          <w:lang w:val="vi-VN"/>
        </w:rPr>
        <w:t>Độc lập - Tự do - Hạnh phúc</w:t>
      </w:r>
      <w:r w:rsidRPr="00AD2DAB">
        <w:rPr>
          <w:rFonts w:eastAsia="Times New Roman"/>
          <w:b/>
          <w:bCs/>
          <w:color w:val="000000"/>
          <w:sz w:val="26"/>
          <w:szCs w:val="26"/>
        </w:rPr>
        <w:br/>
        <w:t>---------------</w:t>
      </w:r>
    </w:p>
    <w:p w:rsidR="00AD2DAB" w:rsidRPr="00AD2DAB" w:rsidRDefault="00AD2DAB" w:rsidP="00AD2DAB">
      <w:pPr>
        <w:shd w:val="clear" w:color="auto" w:fill="FFFFFF"/>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BẢN CAM KẾT</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Tôi là.............................................................................................................................</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Sinh viên lớp:........................................... Khóa:.......................... Khoa:........................</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lastRenderedPageBreak/>
        <w:t>Trường:.........................................................................................................................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Địa chỉ thường trú..........................................................................................................</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Số chứng minh nhân dân (Thẻ căn cước công dân): ........................... ngày cấp: ............... nơi cấp: ................................</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Tôi đã nghiên cứu kỹ và xin cam kết thực hiện các nội dung về học bổng chính sách đối với sinh viên theo chế độ cử tuyển được quy định tại Nghị định số..../2020/NĐ-CP ngày... tháng.... năm 2020 của Chính phủ quy định chi tiết một số điều của Luật Giáo dục.</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Nếu trong trường hợp phải bồi hoàn, tôi xin cam kết hoàn trả số tiền học bổng được nhận theo đúng với các quy định của pháp luật.</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AD2DAB" w:rsidRPr="00AD2DAB" w:rsidTr="00AD2DAB">
        <w:trPr>
          <w:tblCellSpacing w:w="0" w:type="dxa"/>
        </w:trPr>
        <w:tc>
          <w:tcPr>
            <w:tcW w:w="4068" w:type="dxa"/>
            <w:shd w:val="clear" w:color="auto" w:fill="FFFFFF"/>
            <w:tcMar>
              <w:top w:w="0" w:type="dxa"/>
              <w:left w:w="108" w:type="dxa"/>
              <w:bottom w:w="0" w:type="dxa"/>
              <w:right w:w="108" w:type="dxa"/>
            </w:tcMar>
            <w:hideMark/>
          </w:tcPr>
          <w:p w:rsidR="00AD2DAB" w:rsidRPr="00AD2DAB" w:rsidRDefault="00AD2DAB" w:rsidP="00AD2DAB">
            <w:pPr>
              <w:spacing w:before="120" w:after="120" w:line="234" w:lineRule="atLeast"/>
              <w:rPr>
                <w:rFonts w:eastAsia="Times New Roman"/>
                <w:color w:val="000000"/>
                <w:sz w:val="26"/>
                <w:szCs w:val="26"/>
              </w:rPr>
            </w:pPr>
            <w:r w:rsidRPr="00AD2DAB">
              <w:rPr>
                <w:rFonts w:eastAsia="Times New Roman"/>
                <w:b/>
                <w:bCs/>
                <w:color w:val="000000"/>
                <w:sz w:val="26"/>
                <w:szCs w:val="26"/>
                <w:lang w:val="vi-VN"/>
              </w:rPr>
              <w:t> </w:t>
            </w:r>
          </w:p>
        </w:tc>
        <w:tc>
          <w:tcPr>
            <w:tcW w:w="4788" w:type="dxa"/>
            <w:shd w:val="clear" w:color="auto" w:fill="FFFFFF"/>
            <w:tcMar>
              <w:top w:w="0" w:type="dxa"/>
              <w:left w:w="108" w:type="dxa"/>
              <w:bottom w:w="0" w:type="dxa"/>
              <w:right w:w="108" w:type="dxa"/>
            </w:tcMa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i/>
                <w:iCs/>
                <w:color w:val="000000"/>
                <w:sz w:val="26"/>
                <w:szCs w:val="26"/>
              </w:rPr>
              <w:t>…….</w:t>
            </w:r>
            <w:r w:rsidRPr="00AD2DAB">
              <w:rPr>
                <w:rFonts w:eastAsia="Times New Roman"/>
                <w:i/>
                <w:iCs/>
                <w:color w:val="000000"/>
                <w:sz w:val="26"/>
                <w:szCs w:val="26"/>
                <w:lang w:val="vi-VN"/>
              </w:rPr>
              <w:t>...., ngày.... tháng.... năm....</w:t>
            </w:r>
            <w:r w:rsidRPr="00AD2DAB">
              <w:rPr>
                <w:rFonts w:eastAsia="Times New Roman"/>
                <w:color w:val="000000"/>
                <w:sz w:val="26"/>
                <w:szCs w:val="26"/>
                <w:lang w:val="vi-VN"/>
              </w:rPr>
              <w:br/>
            </w:r>
            <w:r w:rsidRPr="00AD2DAB">
              <w:rPr>
                <w:rFonts w:eastAsia="Times New Roman"/>
                <w:b/>
                <w:bCs/>
                <w:color w:val="000000"/>
                <w:sz w:val="26"/>
                <w:szCs w:val="26"/>
                <w:lang w:val="vi-VN"/>
              </w:rPr>
              <w:t>NGƯỜI VIẾT CAM KẾT</w:t>
            </w:r>
            <w:r w:rsidRPr="00AD2DAB">
              <w:rPr>
                <w:rFonts w:eastAsia="Times New Roman"/>
                <w:color w:val="000000"/>
                <w:sz w:val="26"/>
                <w:szCs w:val="26"/>
                <w:lang w:val="vi-VN"/>
              </w:rPr>
              <w:br/>
            </w:r>
            <w:r w:rsidRPr="00AD2DAB">
              <w:rPr>
                <w:rFonts w:eastAsia="Times New Roman"/>
                <w:i/>
                <w:iCs/>
                <w:color w:val="000000"/>
                <w:sz w:val="26"/>
                <w:szCs w:val="26"/>
                <w:lang w:val="vi-VN"/>
              </w:rPr>
              <w:t>(Ký và ghi rõ họ tên)</w:t>
            </w:r>
          </w:p>
        </w:tc>
      </w:tr>
    </w:tbl>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 </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b/>
          <w:bCs/>
          <w:color w:val="000000"/>
          <w:sz w:val="26"/>
          <w:szCs w:val="26"/>
          <w:lang w:val="vi-VN"/>
        </w:rPr>
        <w:t>GI</w:t>
      </w:r>
      <w:r w:rsidRPr="00AD2DAB">
        <w:rPr>
          <w:rFonts w:eastAsia="Times New Roman"/>
          <w:b/>
          <w:bCs/>
          <w:color w:val="000000"/>
          <w:sz w:val="26"/>
          <w:szCs w:val="26"/>
        </w:rPr>
        <w:t>Ấ</w:t>
      </w:r>
      <w:r w:rsidRPr="00AD2DAB">
        <w:rPr>
          <w:rFonts w:eastAsia="Times New Roman"/>
          <w:b/>
          <w:bCs/>
          <w:color w:val="000000"/>
          <w:sz w:val="26"/>
          <w:szCs w:val="26"/>
          <w:lang w:val="vi-VN"/>
        </w:rPr>
        <w:t>Y XÁC NHẬN CỦA NHÀ TRƯỜNG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Trường..........................................................................................................................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Địa chỉ:..........................................................................................................................</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Số điện thoại:................................................................................................................</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Xác nhận anh/chị (Chữ in hoa, có dấu) .......................... là sinh viên năm thứ: .... Khoá: ...... Khoa: .................</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Giấy xác nhận này để làm căn cứ xét, cấp học bổng chính sách theo quy định hiện hành.</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Trong trường hợp sinh viên bị kỷ luật, đình chỉ học tập hoặc buộc thôi học, nhà trường sẽ gửi thông báo kịp thời về địa phương.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AD2DAB" w:rsidRPr="00AD2DAB" w:rsidTr="00AD2DAB">
        <w:trPr>
          <w:tblCellSpacing w:w="0" w:type="dxa"/>
        </w:trPr>
        <w:tc>
          <w:tcPr>
            <w:tcW w:w="4068" w:type="dxa"/>
            <w:shd w:val="clear" w:color="auto" w:fill="FFFFFF"/>
            <w:tcMar>
              <w:top w:w="0" w:type="dxa"/>
              <w:left w:w="108" w:type="dxa"/>
              <w:bottom w:w="0" w:type="dxa"/>
              <w:right w:w="108" w:type="dxa"/>
            </w:tcMar>
            <w:hideMark/>
          </w:tcPr>
          <w:p w:rsidR="00AD2DAB" w:rsidRPr="00AD2DAB" w:rsidRDefault="00AD2DAB" w:rsidP="00AD2DAB">
            <w:pPr>
              <w:spacing w:before="120" w:after="120" w:line="234" w:lineRule="atLeast"/>
              <w:rPr>
                <w:rFonts w:eastAsia="Times New Roman"/>
                <w:color w:val="000000"/>
                <w:sz w:val="26"/>
                <w:szCs w:val="26"/>
              </w:rPr>
            </w:pPr>
            <w:r w:rsidRPr="00AD2DAB">
              <w:rPr>
                <w:rFonts w:eastAsia="Times New Roman"/>
                <w:b/>
                <w:bCs/>
                <w:color w:val="000000"/>
                <w:sz w:val="26"/>
                <w:szCs w:val="26"/>
                <w:lang w:val="vi-VN"/>
              </w:rPr>
              <w:t> </w:t>
            </w:r>
          </w:p>
        </w:tc>
        <w:tc>
          <w:tcPr>
            <w:tcW w:w="4788" w:type="dxa"/>
            <w:shd w:val="clear" w:color="auto" w:fill="FFFFFF"/>
            <w:tcMar>
              <w:top w:w="0" w:type="dxa"/>
              <w:left w:w="108" w:type="dxa"/>
              <w:bottom w:w="0" w:type="dxa"/>
              <w:right w:w="108" w:type="dxa"/>
            </w:tcMa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i/>
                <w:iCs/>
                <w:color w:val="000000"/>
                <w:sz w:val="26"/>
                <w:szCs w:val="26"/>
              </w:rPr>
              <w:t>…………</w:t>
            </w:r>
            <w:r w:rsidRPr="00AD2DAB">
              <w:rPr>
                <w:rFonts w:eastAsia="Times New Roman"/>
                <w:i/>
                <w:iCs/>
                <w:color w:val="000000"/>
                <w:sz w:val="26"/>
                <w:szCs w:val="26"/>
                <w:lang w:val="vi-VN"/>
              </w:rPr>
              <w:t>, ngày.... tháng.... năm....</w:t>
            </w:r>
            <w:r w:rsidRPr="00AD2DAB">
              <w:rPr>
                <w:rFonts w:eastAsia="Times New Roman"/>
                <w:color w:val="000000"/>
                <w:sz w:val="26"/>
                <w:szCs w:val="26"/>
                <w:lang w:val="vi-VN"/>
              </w:rPr>
              <w:br/>
            </w:r>
            <w:r w:rsidRPr="00AD2DAB">
              <w:rPr>
                <w:rFonts w:eastAsia="Times New Roman"/>
                <w:b/>
                <w:bCs/>
                <w:color w:val="000000"/>
                <w:sz w:val="26"/>
                <w:szCs w:val="26"/>
              </w:rPr>
              <w:t>TM. NHÀ TRƯỜNG</w:t>
            </w:r>
            <w:r w:rsidRPr="00AD2DAB">
              <w:rPr>
                <w:rFonts w:eastAsia="Times New Roman"/>
                <w:color w:val="000000"/>
                <w:sz w:val="26"/>
                <w:szCs w:val="26"/>
                <w:lang w:val="vi-VN"/>
              </w:rPr>
              <w:br/>
            </w:r>
            <w:r w:rsidRPr="00AD2DAB">
              <w:rPr>
                <w:rFonts w:eastAsia="Times New Roman"/>
                <w:i/>
                <w:iCs/>
                <w:color w:val="000000"/>
                <w:sz w:val="26"/>
                <w:szCs w:val="26"/>
                <w:lang w:val="vi-VN"/>
              </w:rPr>
              <w:t>(Ký tên, đóng dấu)</w:t>
            </w:r>
          </w:p>
        </w:tc>
      </w:tr>
    </w:tbl>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 </w:t>
      </w:r>
    </w:p>
    <w:p w:rsidR="00AD2DAB" w:rsidRPr="00AD2DAB" w:rsidRDefault="00AD2DAB" w:rsidP="00AD2DAB">
      <w:pPr>
        <w:shd w:val="clear" w:color="auto" w:fill="FFFFFF"/>
        <w:spacing w:before="120" w:after="120" w:line="234" w:lineRule="atLeast"/>
        <w:jc w:val="right"/>
        <w:rPr>
          <w:rFonts w:eastAsia="Times New Roman"/>
          <w:color w:val="000000"/>
          <w:sz w:val="26"/>
          <w:szCs w:val="26"/>
        </w:rPr>
      </w:pPr>
      <w:r w:rsidRPr="00AD2DAB">
        <w:rPr>
          <w:rFonts w:eastAsia="Times New Roman"/>
          <w:b/>
          <w:bCs/>
          <w:color w:val="000000"/>
          <w:sz w:val="26"/>
          <w:szCs w:val="26"/>
        </w:rPr>
        <w:t>Mẫu số 02</w:t>
      </w:r>
    </w:p>
    <w:p w:rsidR="00AD2DAB" w:rsidRPr="00AD2DAB" w:rsidRDefault="00AD2DAB" w:rsidP="00AD2DAB">
      <w:pPr>
        <w:shd w:val="clear" w:color="auto" w:fill="FFFFFF"/>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CỘNG HÒA XÃ HỘI CHỦ NGHĨA VIỆT NAM</w:t>
      </w:r>
      <w:r w:rsidRPr="00AD2DAB">
        <w:rPr>
          <w:rFonts w:eastAsia="Times New Roman"/>
          <w:b/>
          <w:bCs/>
          <w:color w:val="000000"/>
          <w:sz w:val="26"/>
          <w:szCs w:val="26"/>
          <w:lang w:val="vi-VN"/>
        </w:rPr>
        <w:br/>
        <w:t>Độc lập - Tự do - Hạnh phúc</w:t>
      </w:r>
      <w:r w:rsidRPr="00AD2DAB">
        <w:rPr>
          <w:rFonts w:eastAsia="Times New Roman"/>
          <w:b/>
          <w:bCs/>
          <w:color w:val="000000"/>
          <w:sz w:val="26"/>
          <w:szCs w:val="26"/>
        </w:rPr>
        <w:br/>
        <w:t>---------------</w:t>
      </w:r>
    </w:p>
    <w:p w:rsidR="00AD2DAB" w:rsidRPr="00AD2DAB" w:rsidRDefault="00AD2DAB" w:rsidP="00AD2DAB">
      <w:pPr>
        <w:shd w:val="clear" w:color="auto" w:fill="FFFFFF"/>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ĐƠN ĐỀ NGHỊ CẤP HỌC BỔNG CHÍNH SÁCH</w:t>
      </w:r>
    </w:p>
    <w:p w:rsidR="00AD2DAB" w:rsidRPr="00AD2DAB" w:rsidRDefault="00AD2DAB" w:rsidP="00AD2DAB">
      <w:pPr>
        <w:shd w:val="clear" w:color="auto" w:fill="FFFFFF"/>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Kính gửi: .....................</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Họ và tên: ............................................................................ Dân tộc:...........................</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Ngày, tháng, năm sinh:...................................................................................................</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lastRenderedPageBreak/>
        <w:t>Nơi sinh:........................................................................................................................</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Lớp:.................................................................. Khóa:..................................................</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Mã s</w:t>
      </w:r>
      <w:r w:rsidRPr="00AD2DAB">
        <w:rPr>
          <w:rFonts w:eastAsia="Times New Roman"/>
          <w:color w:val="000000"/>
          <w:sz w:val="26"/>
          <w:szCs w:val="26"/>
        </w:rPr>
        <w:t>ố </w:t>
      </w:r>
      <w:r w:rsidRPr="00AD2DAB">
        <w:rPr>
          <w:rFonts w:eastAsia="Times New Roman"/>
          <w:color w:val="000000"/>
          <w:sz w:val="26"/>
          <w:szCs w:val="26"/>
          <w:lang w:val="vi-VN"/>
        </w:rPr>
        <w:t>học viên (nếu có):................................................................................................</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Thuộc đối tượng:...........................................................................................................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(ghi rõ đối tượng được hưởng học bổng chính sách)</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Căn cứ Nghị định số.... /2020/NĐ-CP ngày.... tháng... năm 2020 của Chính phủ quy định chi tiết một số điều của Luật Giáo dục, tôi làm đơn này đề nghị được Nhà trường xem xét để cấp học bổng chính sách theo quy định.</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i/>
          <w:iCs/>
          <w:color w:val="000000"/>
          <w:sz w:val="26"/>
          <w:szCs w:val="26"/>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10"/>
        <w:gridCol w:w="4490"/>
      </w:tblGrid>
      <w:tr w:rsidR="00AD2DAB" w:rsidRPr="00AD2DAB" w:rsidTr="00AD2DAB">
        <w:trPr>
          <w:tblCellSpacing w:w="0" w:type="dxa"/>
        </w:trPr>
        <w:tc>
          <w:tcPr>
            <w:tcW w:w="4510" w:type="dxa"/>
            <w:shd w:val="clear" w:color="auto" w:fill="FFFFFF"/>
            <w:tcMar>
              <w:top w:w="0" w:type="dxa"/>
              <w:left w:w="108" w:type="dxa"/>
              <w:bottom w:w="0" w:type="dxa"/>
              <w:right w:w="108" w:type="dxa"/>
            </w:tcMa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rPr>
              <w:br/>
            </w:r>
            <w:r w:rsidRPr="00AD2DAB">
              <w:rPr>
                <w:rFonts w:eastAsia="Times New Roman"/>
                <w:b/>
                <w:bCs/>
                <w:color w:val="000000"/>
                <w:sz w:val="26"/>
                <w:szCs w:val="26"/>
                <w:lang w:val="vi-VN"/>
              </w:rPr>
              <w:t>XÁC NHẬN CỦA C</w:t>
            </w:r>
            <w:r w:rsidRPr="00AD2DAB">
              <w:rPr>
                <w:rFonts w:eastAsia="Times New Roman"/>
                <w:b/>
                <w:bCs/>
                <w:color w:val="000000"/>
                <w:sz w:val="26"/>
                <w:szCs w:val="26"/>
              </w:rPr>
              <w:t>Ơ SỞ </w:t>
            </w:r>
            <w:r w:rsidRPr="00AD2DAB">
              <w:rPr>
                <w:rFonts w:eastAsia="Times New Roman"/>
                <w:b/>
                <w:bCs/>
                <w:color w:val="000000"/>
                <w:sz w:val="26"/>
                <w:szCs w:val="26"/>
                <w:lang w:val="vi-VN"/>
              </w:rPr>
              <w:t>GIÁO DỤC</w:t>
            </w:r>
            <w:r w:rsidRPr="00AD2DAB">
              <w:rPr>
                <w:rFonts w:eastAsia="Times New Roman"/>
                <w:color w:val="000000"/>
                <w:sz w:val="26"/>
                <w:szCs w:val="26"/>
                <w:lang w:val="vi-VN"/>
              </w:rPr>
              <w:br/>
            </w:r>
            <w:r w:rsidRPr="00AD2DAB">
              <w:rPr>
                <w:rFonts w:eastAsia="Times New Roman"/>
                <w:i/>
                <w:iCs/>
                <w:color w:val="000000"/>
                <w:sz w:val="26"/>
                <w:szCs w:val="26"/>
                <w:lang w:val="vi-VN"/>
              </w:rPr>
              <w:t>(Quản lý học sinh, sinh viên)</w:t>
            </w:r>
          </w:p>
        </w:tc>
        <w:tc>
          <w:tcPr>
            <w:tcW w:w="4490" w:type="dxa"/>
            <w:shd w:val="clear" w:color="auto" w:fill="FFFFFF"/>
            <w:tcMar>
              <w:top w:w="0" w:type="dxa"/>
              <w:left w:w="108" w:type="dxa"/>
              <w:bottom w:w="0" w:type="dxa"/>
              <w:right w:w="108" w:type="dxa"/>
            </w:tcMa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i/>
                <w:iCs/>
                <w:color w:val="000000"/>
                <w:sz w:val="26"/>
                <w:szCs w:val="26"/>
              </w:rPr>
              <w:t>………</w:t>
            </w:r>
            <w:r w:rsidRPr="00AD2DAB">
              <w:rPr>
                <w:rFonts w:eastAsia="Times New Roman"/>
                <w:i/>
                <w:iCs/>
                <w:color w:val="000000"/>
                <w:sz w:val="26"/>
                <w:szCs w:val="26"/>
                <w:lang w:val="vi-VN"/>
              </w:rPr>
              <w:t>, ngày.... tháng.... năm....</w:t>
            </w:r>
            <w:r w:rsidRPr="00AD2DAB">
              <w:rPr>
                <w:rFonts w:eastAsia="Times New Roman"/>
                <w:color w:val="000000"/>
                <w:sz w:val="26"/>
                <w:szCs w:val="26"/>
                <w:lang w:val="vi-VN"/>
              </w:rPr>
              <w:br/>
            </w:r>
            <w:r w:rsidRPr="00AD2DAB">
              <w:rPr>
                <w:rFonts w:eastAsia="Times New Roman"/>
                <w:b/>
                <w:bCs/>
                <w:color w:val="000000"/>
                <w:sz w:val="26"/>
                <w:szCs w:val="26"/>
                <w:lang w:val="vi-VN"/>
              </w:rPr>
              <w:t>NGƯỜI LÀM ĐƠN</w:t>
            </w:r>
            <w:r w:rsidRPr="00AD2DAB">
              <w:rPr>
                <w:rFonts w:eastAsia="Times New Roman"/>
                <w:b/>
                <w:bCs/>
                <w:color w:val="000000"/>
                <w:sz w:val="26"/>
                <w:szCs w:val="26"/>
                <w:lang w:val="vi-VN"/>
              </w:rPr>
              <w:br/>
            </w:r>
            <w:r w:rsidRPr="00AD2DAB">
              <w:rPr>
                <w:rFonts w:eastAsia="Times New Roman"/>
                <w:i/>
                <w:iCs/>
                <w:color w:val="000000"/>
                <w:sz w:val="26"/>
                <w:szCs w:val="26"/>
                <w:lang w:val="vi-VN"/>
              </w:rPr>
              <w:t>(Ký và ghi rõ họ tên)</w:t>
            </w:r>
          </w:p>
        </w:tc>
      </w:tr>
    </w:tbl>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i/>
          <w:iCs/>
          <w:color w:val="000000"/>
          <w:sz w:val="26"/>
          <w:szCs w:val="26"/>
          <w:lang w:val="vi-VN"/>
        </w:rPr>
        <w:t> </w:t>
      </w:r>
    </w:p>
    <w:p w:rsidR="00AD2DAB" w:rsidRPr="00AD2DAB" w:rsidRDefault="00AD2DAB" w:rsidP="00AD2DAB">
      <w:pPr>
        <w:shd w:val="clear" w:color="auto" w:fill="FFFFFF"/>
        <w:spacing w:before="120" w:after="120" w:line="234" w:lineRule="atLeast"/>
        <w:jc w:val="right"/>
        <w:rPr>
          <w:rFonts w:eastAsia="Times New Roman"/>
          <w:color w:val="000000"/>
          <w:sz w:val="26"/>
          <w:szCs w:val="26"/>
        </w:rPr>
      </w:pPr>
      <w:r w:rsidRPr="00AD2DAB">
        <w:rPr>
          <w:rFonts w:eastAsia="Times New Roman"/>
          <w:b/>
          <w:bCs/>
          <w:color w:val="000000"/>
          <w:sz w:val="26"/>
          <w:szCs w:val="26"/>
        </w:rPr>
        <w:t>Mẫu số 03</w:t>
      </w:r>
    </w:p>
    <w:p w:rsidR="00AD2DAB" w:rsidRPr="00AD2DAB" w:rsidRDefault="00AD2DAB" w:rsidP="00AD2DAB">
      <w:pPr>
        <w:shd w:val="clear" w:color="auto" w:fill="FFFFFF"/>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CỘNG HÒA XÃ HỘI CHỦ NGHĨA VIỆT NAM</w:t>
      </w:r>
      <w:r w:rsidRPr="00AD2DAB">
        <w:rPr>
          <w:rFonts w:eastAsia="Times New Roman"/>
          <w:b/>
          <w:bCs/>
          <w:color w:val="000000"/>
          <w:sz w:val="26"/>
          <w:szCs w:val="26"/>
          <w:lang w:val="vi-VN"/>
        </w:rPr>
        <w:br/>
        <w:t>Độc lập - Tự do - Hạnh phúc</w:t>
      </w:r>
      <w:r w:rsidRPr="00AD2DAB">
        <w:rPr>
          <w:rFonts w:eastAsia="Times New Roman"/>
          <w:b/>
          <w:bCs/>
          <w:color w:val="000000"/>
          <w:sz w:val="26"/>
          <w:szCs w:val="26"/>
        </w:rPr>
        <w:br/>
        <w:t>---------------</w:t>
      </w:r>
    </w:p>
    <w:p w:rsidR="00AD2DAB" w:rsidRPr="00AD2DAB" w:rsidRDefault="00AD2DAB" w:rsidP="00AD2DAB">
      <w:pPr>
        <w:shd w:val="clear" w:color="auto" w:fill="FFFFFF"/>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ĐƠN Đ</w:t>
      </w:r>
      <w:r w:rsidRPr="00AD2DAB">
        <w:rPr>
          <w:rFonts w:eastAsia="Times New Roman"/>
          <w:b/>
          <w:bCs/>
          <w:color w:val="000000"/>
          <w:sz w:val="26"/>
          <w:szCs w:val="26"/>
        </w:rPr>
        <w:t>Ề </w:t>
      </w:r>
      <w:r w:rsidRPr="00AD2DAB">
        <w:rPr>
          <w:rFonts w:eastAsia="Times New Roman"/>
          <w:b/>
          <w:bCs/>
          <w:color w:val="000000"/>
          <w:sz w:val="26"/>
          <w:szCs w:val="26"/>
          <w:lang w:val="vi-VN"/>
        </w:rPr>
        <w:t>NGHỊ CẤP HỌC BỔNG CHÍNH SÁCH</w:t>
      </w:r>
    </w:p>
    <w:p w:rsidR="00AD2DAB" w:rsidRPr="00AD2DAB" w:rsidRDefault="00AD2DAB" w:rsidP="00AD2DAB">
      <w:pPr>
        <w:shd w:val="clear" w:color="auto" w:fill="FFFFFF"/>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Kính gửi: Phòng Lao động - Thương binh và Xã hội</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Họ và tên: ............................................................... Dân tộc: .................</w:t>
      </w:r>
      <w:r w:rsidRPr="00AD2DAB">
        <w:rPr>
          <w:rFonts w:eastAsia="Times New Roman"/>
          <w:color w:val="000000"/>
          <w:sz w:val="26"/>
          <w:szCs w:val="26"/>
        </w:rPr>
        <w:t>......................</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Ngày, tháng, năm sinh:...................................................................................................</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Nơi sinh:........................................................................................................................</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Lớp:...................................................................... Khóa:...............................................</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Họ tên cha/mẹ học viên:.................................................................................................</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Hộ khẩu thường trú:.......................................................................................................</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Mã số học viên (nếu có):................................................................................................</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Thuộc đối tượng:...........................................................................................................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(ghi rõ đối tượng được hưởng chính sách)</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Căn cứ Nghị định số..../2020/NĐ-CP ngày.... tháng... năm 2020 của Chính phủ quy định chi tiết một s</w:t>
      </w:r>
      <w:r w:rsidRPr="00AD2DAB">
        <w:rPr>
          <w:rFonts w:eastAsia="Times New Roman"/>
          <w:color w:val="000000"/>
          <w:sz w:val="26"/>
          <w:szCs w:val="26"/>
        </w:rPr>
        <w:t>ố </w:t>
      </w:r>
      <w:r w:rsidRPr="00AD2DAB">
        <w:rPr>
          <w:rFonts w:eastAsia="Times New Roman"/>
          <w:color w:val="000000"/>
          <w:sz w:val="26"/>
          <w:szCs w:val="26"/>
          <w:lang w:val="vi-VN"/>
        </w:rPr>
        <w:t>điều của Luật Giáo dục, tôi làm đơn này đề nghị được Nhà trường xem xét để cấp học bổng chính sách theo quy định.</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AD2DAB" w:rsidRPr="00AD2DAB" w:rsidTr="00AD2DAB">
        <w:trPr>
          <w:tblCellSpacing w:w="0" w:type="dxa"/>
        </w:trPr>
        <w:tc>
          <w:tcPr>
            <w:tcW w:w="4068" w:type="dxa"/>
            <w:shd w:val="clear" w:color="auto" w:fill="FFFFFF"/>
            <w:tcMar>
              <w:top w:w="0" w:type="dxa"/>
              <w:left w:w="108" w:type="dxa"/>
              <w:bottom w:w="0" w:type="dxa"/>
              <w:right w:w="108" w:type="dxa"/>
            </w:tcMar>
            <w:hideMark/>
          </w:tcPr>
          <w:p w:rsidR="00AD2DAB" w:rsidRPr="00AD2DAB" w:rsidRDefault="00AD2DAB" w:rsidP="00AD2DAB">
            <w:pPr>
              <w:spacing w:before="120" w:after="120" w:line="234" w:lineRule="atLeast"/>
              <w:rPr>
                <w:rFonts w:eastAsia="Times New Roman"/>
                <w:color w:val="000000"/>
                <w:sz w:val="26"/>
                <w:szCs w:val="26"/>
              </w:rPr>
            </w:pPr>
            <w:r w:rsidRPr="00AD2DAB">
              <w:rPr>
                <w:rFonts w:eastAsia="Times New Roman"/>
                <w:b/>
                <w:bCs/>
                <w:color w:val="000000"/>
                <w:sz w:val="26"/>
                <w:szCs w:val="26"/>
                <w:lang w:val="vi-VN"/>
              </w:rPr>
              <w:t> </w:t>
            </w:r>
          </w:p>
        </w:tc>
        <w:tc>
          <w:tcPr>
            <w:tcW w:w="4788" w:type="dxa"/>
            <w:shd w:val="clear" w:color="auto" w:fill="FFFFFF"/>
            <w:tcMar>
              <w:top w:w="0" w:type="dxa"/>
              <w:left w:w="108" w:type="dxa"/>
              <w:bottom w:w="0" w:type="dxa"/>
              <w:right w:w="108" w:type="dxa"/>
            </w:tcMa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i/>
                <w:iCs/>
                <w:color w:val="000000"/>
                <w:sz w:val="26"/>
                <w:szCs w:val="26"/>
              </w:rPr>
              <w:t>…..…, </w:t>
            </w:r>
            <w:r w:rsidRPr="00AD2DAB">
              <w:rPr>
                <w:rFonts w:eastAsia="Times New Roman"/>
                <w:i/>
                <w:iCs/>
                <w:color w:val="000000"/>
                <w:sz w:val="26"/>
                <w:szCs w:val="26"/>
                <w:lang w:val="vi-VN"/>
              </w:rPr>
              <w:t>ngày.... tháng.... năm</w:t>
            </w:r>
            <w:r w:rsidRPr="00AD2DAB">
              <w:rPr>
                <w:rFonts w:eastAsia="Times New Roman"/>
                <w:i/>
                <w:iCs/>
                <w:color w:val="000000"/>
                <w:sz w:val="26"/>
                <w:szCs w:val="26"/>
              </w:rPr>
              <w:t>…</w:t>
            </w:r>
            <w:r w:rsidRPr="00AD2DAB">
              <w:rPr>
                <w:rFonts w:eastAsia="Times New Roman"/>
                <w:color w:val="000000"/>
                <w:sz w:val="26"/>
                <w:szCs w:val="26"/>
              </w:rPr>
              <w:br/>
            </w:r>
            <w:r w:rsidRPr="00AD2DAB">
              <w:rPr>
                <w:rFonts w:eastAsia="Times New Roman"/>
                <w:b/>
                <w:bCs/>
                <w:color w:val="000000"/>
                <w:sz w:val="26"/>
                <w:szCs w:val="26"/>
                <w:lang w:val="vi-VN"/>
              </w:rPr>
              <w:t>NGƯỜI LÀM ĐƠN</w:t>
            </w:r>
            <w:r w:rsidRPr="00AD2DAB">
              <w:rPr>
                <w:rFonts w:eastAsia="Times New Roman"/>
                <w:color w:val="000000"/>
                <w:sz w:val="26"/>
                <w:szCs w:val="26"/>
                <w:lang w:val="vi-VN"/>
              </w:rPr>
              <w:br/>
            </w:r>
            <w:r w:rsidRPr="00AD2DAB">
              <w:rPr>
                <w:rFonts w:eastAsia="Times New Roman"/>
                <w:i/>
                <w:iCs/>
                <w:color w:val="000000"/>
                <w:sz w:val="26"/>
                <w:szCs w:val="26"/>
                <w:lang w:val="vi-VN"/>
              </w:rPr>
              <w:t>(Ký và ghi rõ họ tên)</w:t>
            </w:r>
          </w:p>
        </w:tc>
      </w:tr>
    </w:tbl>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 </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b/>
          <w:bCs/>
          <w:color w:val="000000"/>
          <w:sz w:val="26"/>
          <w:szCs w:val="26"/>
          <w:lang w:val="vi-VN"/>
        </w:rPr>
        <w:lastRenderedPageBreak/>
        <w:t>XÁC NHẬN CỦA </w:t>
      </w:r>
      <w:r w:rsidRPr="00AD2DAB">
        <w:rPr>
          <w:rFonts w:eastAsia="Times New Roman"/>
          <w:b/>
          <w:bCs/>
          <w:color w:val="000000"/>
          <w:sz w:val="26"/>
          <w:szCs w:val="26"/>
        </w:rPr>
        <w:t>CƠ SỞ </w:t>
      </w:r>
      <w:r w:rsidRPr="00AD2DAB">
        <w:rPr>
          <w:rFonts w:eastAsia="Times New Roman"/>
          <w:b/>
          <w:bCs/>
          <w:color w:val="000000"/>
          <w:sz w:val="26"/>
          <w:szCs w:val="26"/>
          <w:lang w:val="vi-VN"/>
        </w:rPr>
        <w:t>GIÁO DỤC NGH</w:t>
      </w:r>
      <w:r w:rsidRPr="00AD2DAB">
        <w:rPr>
          <w:rFonts w:eastAsia="Times New Roman"/>
          <w:b/>
          <w:bCs/>
          <w:color w:val="000000"/>
          <w:sz w:val="26"/>
          <w:szCs w:val="26"/>
        </w:rPr>
        <w:t>Ề </w:t>
      </w:r>
      <w:r w:rsidRPr="00AD2DAB">
        <w:rPr>
          <w:rFonts w:eastAsia="Times New Roman"/>
          <w:b/>
          <w:bCs/>
          <w:color w:val="000000"/>
          <w:sz w:val="26"/>
          <w:szCs w:val="26"/>
          <w:lang w:val="vi-VN"/>
        </w:rPr>
        <w:t>NGHỆP TƯ THỤC</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Cơ sở giáo dục nghề nghiệp: ........................................................................................</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Xác nhận anh/chị: ..........................................................................................................</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Hiện là học viên lớp: ........ Khóa: .... Thời gian khóa học:</w:t>
      </w:r>
      <w:r w:rsidRPr="00AD2DAB">
        <w:rPr>
          <w:rFonts w:eastAsia="Times New Roman"/>
          <w:color w:val="000000"/>
          <w:sz w:val="26"/>
          <w:szCs w:val="26"/>
        </w:rPr>
        <w:t> …….. </w:t>
      </w:r>
      <w:r w:rsidRPr="00AD2DAB">
        <w:rPr>
          <w:rFonts w:eastAsia="Times New Roman"/>
          <w:color w:val="000000"/>
          <w:sz w:val="26"/>
          <w:szCs w:val="26"/>
          <w:lang w:val="vi-VN"/>
        </w:rPr>
        <w:t>(năm)</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Hệ đào tạo: ................ của nhà trường.</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Kỷ luật:................................................. (ghi rõ mức độ kỷ luật nếu có).</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Đề nghị Phòng Lao động - Thương binh và Xã hội xem xét cấp học bổng chính sách cho anh/chị theo quy định.</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AD2DAB" w:rsidRPr="00AD2DAB" w:rsidTr="00AD2DAB">
        <w:trPr>
          <w:tblCellSpacing w:w="0" w:type="dxa"/>
        </w:trPr>
        <w:tc>
          <w:tcPr>
            <w:tcW w:w="4068" w:type="dxa"/>
            <w:shd w:val="clear" w:color="auto" w:fill="FFFFFF"/>
            <w:tcMar>
              <w:top w:w="0" w:type="dxa"/>
              <w:left w:w="108" w:type="dxa"/>
              <w:bottom w:w="0" w:type="dxa"/>
              <w:right w:w="108" w:type="dxa"/>
            </w:tcMar>
            <w:hideMark/>
          </w:tcPr>
          <w:p w:rsidR="00AD2DAB" w:rsidRPr="00AD2DAB" w:rsidRDefault="00AD2DAB" w:rsidP="00AD2DAB">
            <w:pPr>
              <w:spacing w:before="120" w:after="120" w:line="234" w:lineRule="atLeast"/>
              <w:rPr>
                <w:rFonts w:eastAsia="Times New Roman"/>
                <w:color w:val="000000"/>
                <w:sz w:val="26"/>
                <w:szCs w:val="26"/>
              </w:rPr>
            </w:pPr>
            <w:r w:rsidRPr="00AD2DAB">
              <w:rPr>
                <w:rFonts w:eastAsia="Times New Roman"/>
                <w:b/>
                <w:bCs/>
                <w:color w:val="000000"/>
                <w:sz w:val="26"/>
                <w:szCs w:val="26"/>
                <w:lang w:val="vi-VN"/>
              </w:rPr>
              <w:t> </w:t>
            </w:r>
          </w:p>
        </w:tc>
        <w:tc>
          <w:tcPr>
            <w:tcW w:w="4788" w:type="dxa"/>
            <w:shd w:val="clear" w:color="auto" w:fill="FFFFFF"/>
            <w:tcMar>
              <w:top w:w="0" w:type="dxa"/>
              <w:left w:w="108" w:type="dxa"/>
              <w:bottom w:w="0" w:type="dxa"/>
              <w:right w:w="108" w:type="dxa"/>
            </w:tcMa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i/>
                <w:iCs/>
                <w:color w:val="000000"/>
                <w:sz w:val="26"/>
                <w:szCs w:val="26"/>
                <w:lang w:val="vi-VN"/>
              </w:rPr>
              <w:t>....., ngày.... tháng.... năm....</w:t>
            </w:r>
            <w:r w:rsidRPr="00AD2DAB">
              <w:rPr>
                <w:rFonts w:eastAsia="Times New Roman"/>
                <w:i/>
                <w:iCs/>
                <w:color w:val="000000"/>
                <w:sz w:val="26"/>
                <w:szCs w:val="26"/>
                <w:lang w:val="vi-VN"/>
              </w:rPr>
              <w:br/>
            </w:r>
            <w:r w:rsidRPr="00AD2DAB">
              <w:rPr>
                <w:rFonts w:eastAsia="Times New Roman"/>
                <w:b/>
                <w:bCs/>
                <w:color w:val="000000"/>
                <w:sz w:val="26"/>
                <w:szCs w:val="26"/>
                <w:lang w:val="vi-VN"/>
              </w:rPr>
              <w:t>THỦ TRƯỞNG ĐƠN VỊ</w:t>
            </w:r>
            <w:r w:rsidRPr="00AD2DAB">
              <w:rPr>
                <w:rFonts w:eastAsia="Times New Roman"/>
                <w:b/>
                <w:bCs/>
                <w:color w:val="000000"/>
                <w:sz w:val="26"/>
                <w:szCs w:val="26"/>
                <w:lang w:val="vi-VN"/>
              </w:rPr>
              <w:br/>
            </w:r>
            <w:r w:rsidRPr="00AD2DAB">
              <w:rPr>
                <w:rFonts w:eastAsia="Times New Roman"/>
                <w:i/>
                <w:iCs/>
                <w:color w:val="000000"/>
                <w:sz w:val="26"/>
                <w:szCs w:val="26"/>
                <w:lang w:val="vi-VN"/>
              </w:rPr>
              <w:t>(Ký, đóng dấu)</w:t>
            </w:r>
          </w:p>
        </w:tc>
      </w:tr>
    </w:tbl>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rPr>
        <w:t> </w:t>
      </w:r>
    </w:p>
    <w:p w:rsidR="00AD2DAB" w:rsidRPr="00AD2DAB" w:rsidRDefault="00AD2DAB" w:rsidP="00AD2DAB">
      <w:pPr>
        <w:shd w:val="clear" w:color="auto" w:fill="FFFFFF"/>
        <w:spacing w:before="120" w:after="120" w:line="234" w:lineRule="atLeast"/>
        <w:jc w:val="right"/>
        <w:rPr>
          <w:rFonts w:eastAsia="Times New Roman"/>
          <w:color w:val="000000"/>
          <w:sz w:val="26"/>
          <w:szCs w:val="26"/>
        </w:rPr>
      </w:pPr>
      <w:r w:rsidRPr="00AD2DAB">
        <w:rPr>
          <w:rFonts w:eastAsia="Times New Roman"/>
          <w:b/>
          <w:bCs/>
          <w:color w:val="000000"/>
          <w:sz w:val="26"/>
          <w:szCs w:val="26"/>
        </w:rPr>
        <w:t>Mẫu số 04</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D2DAB" w:rsidRPr="00AD2DAB" w:rsidTr="00AD2DAB">
        <w:trPr>
          <w:tblCellSpacing w:w="0" w:type="dxa"/>
        </w:trPr>
        <w:tc>
          <w:tcPr>
            <w:tcW w:w="3348" w:type="dxa"/>
            <w:shd w:val="clear" w:color="auto" w:fill="FFFFFF"/>
            <w:tcMar>
              <w:top w:w="0" w:type="dxa"/>
              <w:left w:w="108" w:type="dxa"/>
              <w:bottom w:w="0" w:type="dxa"/>
              <w:right w:w="108" w:type="dxa"/>
            </w:tcMa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C</w:t>
            </w:r>
            <w:r w:rsidRPr="00AD2DAB">
              <w:rPr>
                <w:rFonts w:eastAsia="Times New Roman"/>
                <w:color w:val="000000"/>
                <w:sz w:val="26"/>
                <w:szCs w:val="26"/>
              </w:rPr>
              <w:t>Ơ </w:t>
            </w:r>
            <w:r w:rsidRPr="00AD2DAB">
              <w:rPr>
                <w:rFonts w:eastAsia="Times New Roman"/>
                <w:color w:val="000000"/>
                <w:sz w:val="26"/>
                <w:szCs w:val="26"/>
                <w:lang w:val="vi-VN"/>
              </w:rPr>
              <w:t>QUAN CHỦ QUẢN.......</w:t>
            </w:r>
            <w:r w:rsidRPr="00AD2DAB">
              <w:rPr>
                <w:rFonts w:eastAsia="Times New Roman"/>
                <w:color w:val="000000"/>
                <w:sz w:val="26"/>
                <w:szCs w:val="26"/>
                <w:lang w:val="vi-VN"/>
              </w:rPr>
              <w:br/>
            </w:r>
            <w:r w:rsidRPr="00AD2DAB">
              <w:rPr>
                <w:rFonts w:eastAsia="Times New Roman"/>
                <w:b/>
                <w:bCs/>
                <w:color w:val="000000"/>
                <w:sz w:val="26"/>
                <w:szCs w:val="26"/>
                <w:lang w:val="vi-VN"/>
              </w:rPr>
              <w:t>ĐƠN VỊ THỰC HIỆN...........</w:t>
            </w:r>
            <w:r w:rsidRPr="00AD2DAB">
              <w:rPr>
                <w:rFonts w:eastAsia="Times New Roman"/>
                <w:b/>
                <w:bCs/>
                <w:color w:val="000000"/>
                <w:sz w:val="26"/>
                <w:szCs w:val="26"/>
              </w:rPr>
              <w:br/>
              <w:t>--------</w:t>
            </w:r>
          </w:p>
        </w:tc>
        <w:tc>
          <w:tcPr>
            <w:tcW w:w="5508" w:type="dxa"/>
            <w:shd w:val="clear" w:color="auto" w:fill="FFFFFF"/>
            <w:tcMar>
              <w:top w:w="0" w:type="dxa"/>
              <w:left w:w="108" w:type="dxa"/>
              <w:bottom w:w="0" w:type="dxa"/>
              <w:right w:w="108" w:type="dxa"/>
            </w:tcMa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CỘNG HÒA XÃ HỘI CHỦ NGHĨA VIỆT NAM</w:t>
            </w:r>
            <w:r w:rsidRPr="00AD2DAB">
              <w:rPr>
                <w:rFonts w:eastAsia="Times New Roman"/>
                <w:b/>
                <w:bCs/>
                <w:color w:val="000000"/>
                <w:sz w:val="26"/>
                <w:szCs w:val="26"/>
                <w:lang w:val="vi-VN"/>
              </w:rPr>
              <w:br/>
              <w:t>Độc lập - Tự do - Hạnh phúc</w:t>
            </w:r>
            <w:r w:rsidRPr="00AD2DAB">
              <w:rPr>
                <w:rFonts w:eastAsia="Times New Roman"/>
                <w:b/>
                <w:bCs/>
                <w:color w:val="000000"/>
                <w:sz w:val="26"/>
                <w:szCs w:val="26"/>
                <w:lang w:val="vi-VN"/>
              </w:rPr>
              <w:br/>
              <w:t>---------------</w:t>
            </w:r>
          </w:p>
        </w:tc>
      </w:tr>
    </w:tbl>
    <w:p w:rsidR="00AD2DAB" w:rsidRPr="00AD2DAB" w:rsidRDefault="00AD2DAB" w:rsidP="00AD2DAB">
      <w:pPr>
        <w:shd w:val="clear" w:color="auto" w:fill="FFFFFF"/>
        <w:spacing w:before="120" w:after="120" w:line="234" w:lineRule="atLeast"/>
        <w:jc w:val="center"/>
        <w:rPr>
          <w:rFonts w:eastAsia="Times New Roman"/>
          <w:color w:val="000000"/>
          <w:sz w:val="26"/>
          <w:szCs w:val="26"/>
        </w:rPr>
      </w:pPr>
      <w:r w:rsidRPr="00AD2DAB">
        <w:rPr>
          <w:rFonts w:eastAsia="Times New Roman"/>
          <w:b/>
          <w:bCs/>
          <w:color w:val="000000"/>
          <w:sz w:val="26"/>
          <w:szCs w:val="26"/>
        </w:rPr>
        <w:t> </w:t>
      </w:r>
    </w:p>
    <w:p w:rsidR="00AD2DAB" w:rsidRPr="00AD2DAB" w:rsidRDefault="00AD2DAB" w:rsidP="00AD2DAB">
      <w:pPr>
        <w:shd w:val="clear" w:color="auto" w:fill="FFFFFF"/>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D</w:t>
      </w:r>
      <w:r w:rsidRPr="00AD2DAB">
        <w:rPr>
          <w:rFonts w:eastAsia="Times New Roman"/>
          <w:b/>
          <w:bCs/>
          <w:color w:val="000000"/>
          <w:sz w:val="26"/>
          <w:szCs w:val="26"/>
        </w:rPr>
        <w:t>Ự</w:t>
      </w:r>
      <w:r w:rsidRPr="00AD2DAB">
        <w:rPr>
          <w:rFonts w:eastAsia="Times New Roman"/>
          <w:b/>
          <w:bCs/>
          <w:color w:val="000000"/>
          <w:sz w:val="26"/>
          <w:szCs w:val="26"/>
          <w:lang w:val="vi-VN"/>
        </w:rPr>
        <w:t> TOÁN KINH PHÍ TH</w:t>
      </w:r>
      <w:r w:rsidRPr="00AD2DAB">
        <w:rPr>
          <w:rFonts w:eastAsia="Times New Roman"/>
          <w:b/>
          <w:bCs/>
          <w:color w:val="000000"/>
          <w:sz w:val="26"/>
          <w:szCs w:val="26"/>
        </w:rPr>
        <w:t>Ự</w:t>
      </w:r>
      <w:r w:rsidRPr="00AD2DAB">
        <w:rPr>
          <w:rFonts w:eastAsia="Times New Roman"/>
          <w:b/>
          <w:bCs/>
          <w:color w:val="000000"/>
          <w:sz w:val="26"/>
          <w:szCs w:val="26"/>
          <w:lang w:val="vi-VN"/>
        </w:rPr>
        <w:t>C HIỆN HỌC B</w:t>
      </w:r>
      <w:r w:rsidRPr="00AD2DAB">
        <w:rPr>
          <w:rFonts w:eastAsia="Times New Roman"/>
          <w:b/>
          <w:bCs/>
          <w:color w:val="000000"/>
          <w:sz w:val="26"/>
          <w:szCs w:val="26"/>
        </w:rPr>
        <w:t>Ổ</w:t>
      </w:r>
      <w:r w:rsidRPr="00AD2DAB">
        <w:rPr>
          <w:rFonts w:eastAsia="Times New Roman"/>
          <w:b/>
          <w:bCs/>
          <w:color w:val="000000"/>
          <w:sz w:val="26"/>
          <w:szCs w:val="26"/>
          <w:lang w:val="vi-VN"/>
        </w:rPr>
        <w:t>NG CHÍNH SÁCH ĐỐI VỚI HỌC SINH, SINH VIÊN</w:t>
      </w:r>
    </w:p>
    <w:p w:rsidR="00AD2DAB" w:rsidRPr="00AD2DAB" w:rsidRDefault="00AD2DAB" w:rsidP="00AD2DAB">
      <w:pPr>
        <w:shd w:val="clear" w:color="auto" w:fill="FFFFFF"/>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Năm ...</w:t>
      </w:r>
    </w:p>
    <w:p w:rsidR="00AD2DAB" w:rsidRPr="00AD2DAB" w:rsidRDefault="00AD2DAB" w:rsidP="00AD2DAB">
      <w:pPr>
        <w:shd w:val="clear" w:color="auto" w:fill="FFFFFF"/>
        <w:spacing w:before="120" w:after="120" w:line="234" w:lineRule="atLeast"/>
        <w:rPr>
          <w:rFonts w:eastAsia="Times New Roman"/>
          <w:color w:val="000000"/>
          <w:sz w:val="26"/>
          <w:szCs w:val="26"/>
        </w:rPr>
      </w:pPr>
      <w:r w:rsidRPr="00AD2DAB">
        <w:rPr>
          <w:rFonts w:eastAsia="Times New Roman"/>
          <w:color w:val="000000"/>
          <w:sz w:val="26"/>
          <w:szCs w:val="26"/>
          <w:lang w:val="vi-VN"/>
        </w:rPr>
        <w:t>Thực hiện theo Nghị định số..../2020/NĐ-CP ngày .... tháng ...năm 2020 của Chính phủ quy định chi tiết một số điều của Luật Giáo dục.</w:t>
      </w:r>
    </w:p>
    <w:p w:rsidR="00AD2DAB" w:rsidRPr="00AD2DAB" w:rsidRDefault="00AD2DAB" w:rsidP="00AD2DAB">
      <w:pPr>
        <w:shd w:val="clear" w:color="auto" w:fill="FFFFFF"/>
        <w:spacing w:before="120" w:after="120" w:line="234" w:lineRule="atLeast"/>
        <w:jc w:val="right"/>
        <w:rPr>
          <w:rFonts w:eastAsia="Times New Roman"/>
          <w:color w:val="000000"/>
          <w:sz w:val="26"/>
          <w:szCs w:val="26"/>
        </w:rPr>
      </w:pPr>
      <w:r w:rsidRPr="00AD2DAB">
        <w:rPr>
          <w:rFonts w:eastAsia="Times New Roman"/>
          <w:color w:val="000000"/>
          <w:sz w:val="26"/>
          <w:szCs w:val="26"/>
          <w:lang w:val="vi-VN"/>
        </w:rPr>
        <w:t>Đơn vị tính: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03"/>
        <w:gridCol w:w="1740"/>
        <w:gridCol w:w="872"/>
        <w:gridCol w:w="898"/>
        <w:gridCol w:w="699"/>
        <w:gridCol w:w="1245"/>
        <w:gridCol w:w="1448"/>
        <w:gridCol w:w="1936"/>
      </w:tblGrid>
      <w:tr w:rsidR="00AD2DAB" w:rsidRPr="00AD2DAB" w:rsidTr="00AD2DAB">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TT</w:t>
            </w:r>
          </w:p>
        </w:tc>
        <w:tc>
          <w:tcPr>
            <w:tcW w:w="9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Nội dung</w:t>
            </w:r>
          </w:p>
        </w:tc>
        <w:tc>
          <w:tcPr>
            <w:tcW w:w="4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Ngày tháng năm sinh</w:t>
            </w:r>
          </w:p>
        </w:tc>
        <w:tc>
          <w:tcPr>
            <w:tcW w:w="4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Loại đối tượng chính sách</w:t>
            </w:r>
          </w:p>
        </w:tc>
        <w:tc>
          <w:tcPr>
            <w:tcW w:w="3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Dân tộc</w:t>
            </w:r>
          </w:p>
        </w:tc>
        <w:tc>
          <w:tcPr>
            <w:tcW w:w="6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Số tháng hỗ trợ</w:t>
            </w:r>
          </w:p>
        </w:tc>
        <w:tc>
          <w:tcPr>
            <w:tcW w:w="7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Mức học bổng chính sách/ tháng</w:t>
            </w:r>
          </w:p>
        </w:tc>
        <w:tc>
          <w:tcPr>
            <w:tcW w:w="10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Kinh phí hỗ trợ</w:t>
            </w:r>
          </w:p>
        </w:tc>
      </w:tr>
      <w:tr w:rsidR="00AD2DAB" w:rsidRPr="00AD2DAB" w:rsidTr="00AD2DAB">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(2)</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(3)</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(4)</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(5)</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(6)</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(7)</w:t>
            </w:r>
          </w:p>
        </w:tc>
        <w:tc>
          <w:tcPr>
            <w:tcW w:w="10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(8)=(7)*(6)</w:t>
            </w:r>
          </w:p>
        </w:tc>
      </w:tr>
      <w:tr w:rsidR="00AD2DAB" w:rsidRPr="00AD2DAB" w:rsidTr="00AD2DAB">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Sinh viên </w:t>
            </w:r>
            <w:r w:rsidRPr="00AD2DAB">
              <w:rPr>
                <w:rFonts w:eastAsia="Times New Roman"/>
                <w:color w:val="000000"/>
                <w:sz w:val="26"/>
                <w:szCs w:val="26"/>
              </w:rPr>
              <w:t>A</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10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r>
      <w:tr w:rsidR="00AD2DAB" w:rsidRPr="00AD2DAB" w:rsidTr="00AD2DAB">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Sinh viên B</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10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r>
      <w:tr w:rsidR="00AD2DAB" w:rsidRPr="00AD2DAB" w:rsidTr="00AD2DAB">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3</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Sinh viên </w:t>
            </w:r>
            <w:r w:rsidRPr="00AD2DAB">
              <w:rPr>
                <w:rFonts w:eastAsia="Times New Roman"/>
                <w:color w:val="000000"/>
                <w:sz w:val="26"/>
                <w:szCs w:val="26"/>
              </w:rPr>
              <w:t>C</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10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r>
      <w:tr w:rsidR="00AD2DAB" w:rsidRPr="00AD2DAB" w:rsidTr="00AD2DAB">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lastRenderedPageBreak/>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10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r>
      <w:tr w:rsidR="00AD2DAB" w:rsidRPr="00AD2DAB" w:rsidTr="00AD2DAB">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10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r>
      <w:tr w:rsidR="00AD2DAB" w:rsidRPr="00AD2DAB" w:rsidTr="00AD2DAB">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10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r>
      <w:tr w:rsidR="00AD2DAB" w:rsidRPr="00AD2DAB" w:rsidTr="00AD2DAB">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10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r>
      <w:tr w:rsidR="00AD2DAB" w:rsidRPr="00AD2DAB" w:rsidTr="00AD2DAB">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10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r>
      <w:tr w:rsidR="00AD2DAB" w:rsidRPr="00AD2DAB" w:rsidTr="00AD2DAB">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b/>
                <w:bCs/>
                <w:color w:val="000000"/>
                <w:sz w:val="26"/>
                <w:szCs w:val="26"/>
                <w:lang w:val="vi-VN"/>
              </w:rPr>
              <w:t>Tông sô</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c>
          <w:tcPr>
            <w:tcW w:w="10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color w:val="000000"/>
                <w:sz w:val="26"/>
                <w:szCs w:val="26"/>
                <w:lang w:val="vi-VN"/>
              </w:rPr>
              <w:t> </w:t>
            </w:r>
          </w:p>
        </w:tc>
      </w:tr>
    </w:tbl>
    <w:p w:rsidR="00AD2DAB" w:rsidRPr="00AD2DAB" w:rsidRDefault="00AD2DAB" w:rsidP="00AD2DAB">
      <w:pPr>
        <w:shd w:val="clear" w:color="auto" w:fill="FFFFFF"/>
        <w:spacing w:before="120" w:after="120" w:line="234" w:lineRule="atLeast"/>
        <w:jc w:val="center"/>
        <w:rPr>
          <w:rFonts w:eastAsia="Times New Roman"/>
          <w:color w:val="000000"/>
          <w:sz w:val="26"/>
          <w:szCs w:val="26"/>
        </w:rPr>
      </w:pPr>
      <w:r w:rsidRPr="00AD2DAB">
        <w:rPr>
          <w:rFonts w:eastAsia="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AD2DAB" w:rsidRPr="00AD2DAB" w:rsidTr="00AD2DAB">
        <w:trPr>
          <w:tblCellSpacing w:w="0" w:type="dxa"/>
        </w:trPr>
        <w:tc>
          <w:tcPr>
            <w:tcW w:w="4068" w:type="dxa"/>
            <w:shd w:val="clear" w:color="auto" w:fill="FFFFFF"/>
            <w:tcMar>
              <w:top w:w="0" w:type="dxa"/>
              <w:left w:w="108" w:type="dxa"/>
              <w:bottom w:w="0" w:type="dxa"/>
              <w:right w:w="108" w:type="dxa"/>
            </w:tcMar>
            <w:hideMark/>
          </w:tcPr>
          <w:p w:rsidR="00AD2DAB" w:rsidRPr="00AD2DAB" w:rsidRDefault="00AD2DAB" w:rsidP="00AD2DAB">
            <w:pPr>
              <w:spacing w:before="120" w:after="120" w:line="234" w:lineRule="atLeast"/>
              <w:rPr>
                <w:rFonts w:eastAsia="Times New Roman"/>
                <w:color w:val="000000"/>
                <w:sz w:val="26"/>
                <w:szCs w:val="26"/>
              </w:rPr>
            </w:pPr>
            <w:r w:rsidRPr="00AD2DAB">
              <w:rPr>
                <w:rFonts w:eastAsia="Times New Roman"/>
                <w:b/>
                <w:bCs/>
                <w:color w:val="000000"/>
                <w:sz w:val="26"/>
                <w:szCs w:val="26"/>
                <w:lang w:val="vi-VN"/>
              </w:rPr>
              <w:t> </w:t>
            </w:r>
          </w:p>
        </w:tc>
        <w:tc>
          <w:tcPr>
            <w:tcW w:w="4788" w:type="dxa"/>
            <w:shd w:val="clear" w:color="auto" w:fill="FFFFFF"/>
            <w:tcMar>
              <w:top w:w="0" w:type="dxa"/>
              <w:left w:w="108" w:type="dxa"/>
              <w:bottom w:w="0" w:type="dxa"/>
              <w:right w:w="108" w:type="dxa"/>
            </w:tcMar>
            <w:hideMark/>
          </w:tcPr>
          <w:p w:rsidR="00AD2DAB" w:rsidRPr="00AD2DAB" w:rsidRDefault="00AD2DAB" w:rsidP="00AD2DAB">
            <w:pPr>
              <w:spacing w:before="120" w:after="120" w:line="234" w:lineRule="atLeast"/>
              <w:jc w:val="center"/>
              <w:rPr>
                <w:rFonts w:eastAsia="Times New Roman"/>
                <w:color w:val="000000"/>
                <w:sz w:val="26"/>
                <w:szCs w:val="26"/>
              </w:rPr>
            </w:pPr>
            <w:r w:rsidRPr="00AD2DAB">
              <w:rPr>
                <w:rFonts w:eastAsia="Times New Roman"/>
                <w:i/>
                <w:iCs/>
                <w:color w:val="000000"/>
                <w:sz w:val="26"/>
                <w:szCs w:val="26"/>
              </w:rPr>
              <w:t>….….</w:t>
            </w:r>
            <w:r w:rsidRPr="00AD2DAB">
              <w:rPr>
                <w:rFonts w:eastAsia="Times New Roman"/>
                <w:i/>
                <w:iCs/>
                <w:color w:val="000000"/>
                <w:sz w:val="26"/>
                <w:szCs w:val="26"/>
                <w:lang w:val="vi-VN"/>
              </w:rPr>
              <w:t>, ngày</w:t>
            </w:r>
            <w:r w:rsidRPr="00AD2DAB">
              <w:rPr>
                <w:rFonts w:eastAsia="Times New Roman"/>
                <w:i/>
                <w:iCs/>
                <w:color w:val="000000"/>
                <w:sz w:val="26"/>
                <w:szCs w:val="26"/>
              </w:rPr>
              <w:t>…</w:t>
            </w:r>
            <w:r w:rsidRPr="00AD2DAB">
              <w:rPr>
                <w:rFonts w:eastAsia="Times New Roman"/>
                <w:i/>
                <w:iCs/>
                <w:color w:val="000000"/>
                <w:sz w:val="26"/>
                <w:szCs w:val="26"/>
                <w:lang w:val="vi-VN"/>
              </w:rPr>
              <w:t>tháng</w:t>
            </w:r>
            <w:r w:rsidRPr="00AD2DAB">
              <w:rPr>
                <w:rFonts w:eastAsia="Times New Roman"/>
                <w:i/>
                <w:iCs/>
                <w:color w:val="000000"/>
                <w:sz w:val="26"/>
                <w:szCs w:val="26"/>
              </w:rPr>
              <w:t>…</w:t>
            </w:r>
            <w:r w:rsidRPr="00AD2DAB">
              <w:rPr>
                <w:rFonts w:eastAsia="Times New Roman"/>
                <w:i/>
                <w:iCs/>
                <w:color w:val="000000"/>
                <w:sz w:val="26"/>
                <w:szCs w:val="26"/>
                <w:lang w:val="vi-VN"/>
              </w:rPr>
              <w:t>năm</w:t>
            </w:r>
            <w:r w:rsidRPr="00AD2DAB">
              <w:rPr>
                <w:rFonts w:eastAsia="Times New Roman"/>
                <w:i/>
                <w:iCs/>
                <w:color w:val="000000"/>
                <w:sz w:val="26"/>
                <w:szCs w:val="26"/>
              </w:rPr>
              <w:t>….</w:t>
            </w:r>
            <w:r w:rsidRPr="00AD2DAB">
              <w:rPr>
                <w:rFonts w:eastAsia="Times New Roman"/>
                <w:color w:val="000000"/>
                <w:sz w:val="26"/>
                <w:szCs w:val="26"/>
              </w:rPr>
              <w:br/>
            </w:r>
            <w:r w:rsidRPr="00AD2DAB">
              <w:rPr>
                <w:rFonts w:eastAsia="Times New Roman"/>
                <w:b/>
                <w:bCs/>
                <w:color w:val="000000"/>
                <w:sz w:val="26"/>
                <w:szCs w:val="26"/>
                <w:lang w:val="vi-VN"/>
              </w:rPr>
              <w:t>TH</w:t>
            </w:r>
            <w:r w:rsidRPr="00AD2DAB">
              <w:rPr>
                <w:rFonts w:eastAsia="Times New Roman"/>
                <w:b/>
                <w:bCs/>
                <w:color w:val="000000"/>
                <w:sz w:val="26"/>
                <w:szCs w:val="26"/>
              </w:rPr>
              <w:t>Ủ </w:t>
            </w:r>
            <w:r w:rsidRPr="00AD2DAB">
              <w:rPr>
                <w:rFonts w:eastAsia="Times New Roman"/>
                <w:b/>
                <w:bCs/>
                <w:color w:val="000000"/>
                <w:sz w:val="26"/>
                <w:szCs w:val="26"/>
                <w:lang w:val="vi-VN"/>
              </w:rPr>
              <w:t>TRƯỞNG ĐƠN VỊ</w:t>
            </w:r>
            <w:r w:rsidRPr="00AD2DAB">
              <w:rPr>
                <w:rFonts w:eastAsia="Times New Roman"/>
                <w:b/>
                <w:bCs/>
                <w:color w:val="000000"/>
                <w:sz w:val="26"/>
                <w:szCs w:val="26"/>
                <w:lang w:val="vi-VN"/>
              </w:rPr>
              <w:br/>
            </w:r>
            <w:r w:rsidRPr="00AD2DAB">
              <w:rPr>
                <w:rFonts w:eastAsia="Times New Roman"/>
                <w:i/>
                <w:iCs/>
                <w:color w:val="000000"/>
                <w:sz w:val="26"/>
                <w:szCs w:val="26"/>
                <w:lang w:val="vi-VN"/>
              </w:rPr>
              <w:t>(Ký tên, đóng dấu)</w:t>
            </w:r>
          </w:p>
        </w:tc>
      </w:tr>
    </w:tbl>
    <w:p w:rsidR="00AD2DAB" w:rsidRPr="00AD2DAB" w:rsidRDefault="00AD2DAB" w:rsidP="00AD2DAB">
      <w:pPr>
        <w:shd w:val="clear" w:color="auto" w:fill="FFFFFF"/>
        <w:spacing w:before="120" w:after="120" w:line="234" w:lineRule="atLeast"/>
        <w:jc w:val="center"/>
        <w:rPr>
          <w:rFonts w:eastAsia="Times New Roman"/>
          <w:color w:val="000000"/>
          <w:sz w:val="26"/>
          <w:szCs w:val="26"/>
        </w:rPr>
      </w:pPr>
      <w:r w:rsidRPr="00AD2DAB">
        <w:rPr>
          <w:rFonts w:eastAsia="Times New Roman"/>
          <w:color w:val="000000"/>
          <w:sz w:val="26"/>
          <w:szCs w:val="26"/>
        </w:rPr>
        <w:t> </w:t>
      </w:r>
    </w:p>
    <w:p w:rsidR="00046832" w:rsidRPr="00AD2DAB" w:rsidRDefault="00046832">
      <w:pPr>
        <w:rPr>
          <w:sz w:val="26"/>
          <w:szCs w:val="26"/>
        </w:rPr>
      </w:pPr>
    </w:p>
    <w:sectPr w:rsidR="00046832" w:rsidRPr="00AD2DAB" w:rsidSect="004B1482">
      <w:pgSz w:w="11907" w:h="16840" w:code="9"/>
      <w:pgMar w:top="1134" w:right="102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DAB"/>
    <w:rsid w:val="00046832"/>
    <w:rsid w:val="001541F3"/>
    <w:rsid w:val="002B16ED"/>
    <w:rsid w:val="004B1482"/>
    <w:rsid w:val="00502C87"/>
    <w:rsid w:val="00890EE1"/>
    <w:rsid w:val="00902A81"/>
    <w:rsid w:val="00A60408"/>
    <w:rsid w:val="00AD2DAB"/>
    <w:rsid w:val="00D96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3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nghi-dinh-31-2011-nd-cp-sua-doi-nghi-dinh-so-75-2006-nd-cp-123834.aspx" TargetMode="External"/><Relationship Id="rId13" Type="http://schemas.openxmlformats.org/officeDocument/2006/relationships/hyperlink" Target="https://thuvienphapluat.vn/van-ban/giao-duc/quyet-dinh-152-2007-qd-ttg-hoc-bong-chinh-sach-hoc-sinh-sinh-vien-hoc-co-so-giao-duc-he-thong-giao-duc-quoc-dan-55314.aspx" TargetMode="External"/><Relationship Id="rId18" Type="http://schemas.openxmlformats.org/officeDocument/2006/relationships/hyperlink" Target="https://thuvienphapluat.vn/van-ban/tai-chinh-nha-nuoc/quyet-dinh-1121-1997-qd-ttg-hoc-bong-va-tro-cap-xa-hoi-hoc-sinh-sinh-vien-truong-dao-tao-cong-lap-41289.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huvienphapluat.vn/van-ban/giao-duc/nghi-dinh-75-2006-nd-cp-huong-dan-luat-giao-duc-13357.aspx" TargetMode="External"/><Relationship Id="rId12" Type="http://schemas.openxmlformats.org/officeDocument/2006/relationships/hyperlink" Target="https://thuvienphapluat.vn/van-ban/giao-duc/nghi-dinh-75-2006-nd-cp-huong-dan-luat-giao-duc-13357.aspx" TargetMode="External"/><Relationship Id="rId17" Type="http://schemas.openxmlformats.org/officeDocument/2006/relationships/hyperlink" Target="https://thuvienphapluat.vn/van-ban/giao-duc/quyet-dinh-194-2001-qd-ttg-dieu-chinh-muc-hoc-bong-chinh-sach-tro-cap-xh-hoc-sinh-vien-dan-toc-thieu-so-truong-dao-tao-cong-lap-qd-1121-1997-qd-ttg-48775.aspx" TargetMode="External"/><Relationship Id="rId2" Type="http://schemas.microsoft.com/office/2007/relationships/stylesWithEffects" Target="stylesWithEffects.xml"/><Relationship Id="rId16" Type="http://schemas.openxmlformats.org/officeDocument/2006/relationships/hyperlink" Target="https://thuvienphapluat.vn/van-ban/tai-chinh-nha-nuoc/quyet-dinh-1121-1997-qd-ttg-hoc-bong-va-tro-cap-xa-hoi-hoc-sinh-sinh-vien-truong-dao-tao-cong-lap-41289.aspx" TargetMode="External"/><Relationship Id="rId20" Type="http://schemas.openxmlformats.org/officeDocument/2006/relationships/hyperlink" Target="https://thuvienphapluat.vn/van-ban/giao-duc/quyet-dinh-194-2001-qd-ttg-dieu-chinh-muc-hoc-bong-chinh-sach-tro-cap-xh-hoc-sinh-vien-dan-toc-thieu-so-truong-dao-tao-cong-lap-qd-1121-1997-qd-ttg-48775.aspx" TargetMode="External"/><Relationship Id="rId1" Type="http://schemas.openxmlformats.org/officeDocument/2006/relationships/styles" Target="styles.xml"/><Relationship Id="rId6" Type="http://schemas.openxmlformats.org/officeDocument/2006/relationships/hyperlink" Target="https://thuvienphapluat.vn/van-ban/giao-thong-van-tai/nghi-dinh-65-2018-nd-cp-huong-dan-luat-duong-sat-356280.aspx" TargetMode="External"/><Relationship Id="rId11" Type="http://schemas.openxmlformats.org/officeDocument/2006/relationships/hyperlink" Target="https://thuvienphapluat.vn/van-ban/giao-duc/nghi-dinh-31-2011-nd-cp-sua-doi-nghi-dinh-so-75-2006-nd-cp-123834.aspx" TargetMode="External"/><Relationship Id="rId5" Type="http://schemas.openxmlformats.org/officeDocument/2006/relationships/hyperlink" Target="https://thuvienphapluat.vn/van-ban/van-hoa-xa-hoi/nghi-dinh-28-2012-nd-cp-huong-dan-luat-nguoi-khuyet-tat-137918.aspx" TargetMode="External"/><Relationship Id="rId15" Type="http://schemas.openxmlformats.org/officeDocument/2006/relationships/hyperlink" Target="https://thuvienphapluat.vn/van-ban/giao-duc/quyet-dinh-239-1999-qd-ttg-hoc-bong-tro-cap-xa-hoi-hoc-sinh-sinh-vien-truong-dao-tao-cong-lap-sua-doi-khoan-a-dieu-1-cua-quyet-dinh-1121-1997-qd-ttg-2644.aspx" TargetMode="External"/><Relationship Id="rId10" Type="http://schemas.openxmlformats.org/officeDocument/2006/relationships/hyperlink" Target="https://thuvienphapluat.vn/van-ban/giao-duc/nghi-dinh-07-2013-nd-cp-sua-doi-nghi-dinh-31-2011-nd-cp-sua-doi-bo-sung-163778.aspx" TargetMode="External"/><Relationship Id="rId19" Type="http://schemas.openxmlformats.org/officeDocument/2006/relationships/hyperlink" Target="https://thuvienphapluat.vn/van-ban/giao-duc/quyet-dinh-82-2006-qd-ttg-muc-hoc-bong-chinh-sach-hssv-dan-toc-thieu-so-tai-truong-pho-thong-dan-toc-noi-tru-du-bi-dai-hoc-dieu-chinh-194-2001-qd-ttg-11258.aspx" TargetMode="External"/><Relationship Id="rId4" Type="http://schemas.openxmlformats.org/officeDocument/2006/relationships/webSettings" Target="webSettings.xml"/><Relationship Id="rId9" Type="http://schemas.openxmlformats.org/officeDocument/2006/relationships/hyperlink" Target="https://thuvienphapluat.vn/van-ban/giao-duc/nghi-dinh-75-2006-nd-cp-huong-dan-luat-giao-duc-13357.aspx" TargetMode="External"/><Relationship Id="rId14" Type="http://schemas.openxmlformats.org/officeDocument/2006/relationships/hyperlink" Target="https://thuvienphapluat.vn/van-ban/tai-chinh-nha-nuoc/quyet-dinh-1121-1997-qd-ttg-hoc-bong-va-tro-cap-xa-hoi-hoc-sinh-sinh-vien-truong-dao-tao-cong-lap-41289.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7129</Words>
  <Characters>40640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2020-07-21T03:02:00Z</dcterms:created>
  <dcterms:modified xsi:type="dcterms:W3CDTF">2020-08-25T08:58:00Z</dcterms:modified>
</cp:coreProperties>
</file>